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3000000">
      <w:pPr>
        <w:spacing w:after="160" w:line="36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Муниципальное Бюджетное Общеобразовательное Учреждение</w:t>
      </w:r>
    </w:p>
    <w:p w14:paraId="04000000">
      <w:pPr>
        <w:spacing w:after="160" w:line="36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"Средняя общеобразовательная школа №69"</w:t>
      </w:r>
    </w:p>
    <w:p w14:paraId="05000000">
      <w:pPr>
        <w:spacing w:after="160" w:line="360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Приволжского района г. Казани</w:t>
      </w:r>
    </w:p>
    <w:p w14:paraId="06000000">
      <w:pPr>
        <w:spacing w:after="160" w:line="264" w:lineRule="auto"/>
        <w:ind/>
        <w:jc w:val="center"/>
        <w:rPr>
          <w:rFonts w:ascii="Times New Roman" w:hAnsi="Times New Roman"/>
          <w:sz w:val="28"/>
        </w:rPr>
      </w:pPr>
    </w:p>
    <w:p w14:paraId="07000000">
      <w:pPr>
        <w:spacing w:after="160" w:line="264" w:lineRule="auto"/>
        <w:ind/>
        <w:jc w:val="center"/>
        <w:rPr>
          <w:rFonts w:ascii="Times New Roman" w:hAnsi="Times New Roman"/>
          <w:sz w:val="28"/>
        </w:rPr>
      </w:pPr>
    </w:p>
    <w:p w14:paraId="08000000">
      <w:pPr>
        <w:spacing w:after="160" w:line="264" w:lineRule="auto"/>
        <w:ind/>
        <w:jc w:val="center"/>
        <w:rPr>
          <w:rFonts w:ascii="Times New Roman" w:hAnsi="Times New Roman"/>
          <w:sz w:val="28"/>
        </w:rPr>
      </w:pPr>
    </w:p>
    <w:p w14:paraId="09000000">
      <w:pPr>
        <w:spacing w:after="160" w:line="264" w:lineRule="auto"/>
        <w:ind/>
        <w:jc w:val="center"/>
        <w:rPr>
          <w:rFonts w:ascii="Times New Roman" w:hAnsi="Times New Roman"/>
          <w:sz w:val="28"/>
        </w:rPr>
      </w:pPr>
    </w:p>
    <w:p w14:paraId="0A000000">
      <w:pPr>
        <w:spacing w:after="160" w:line="264" w:lineRule="auto"/>
        <w:ind/>
        <w:jc w:val="center"/>
        <w:rPr>
          <w:rFonts w:ascii="Times New Roman" w:hAnsi="Times New Roman"/>
          <w:sz w:val="28"/>
        </w:rPr>
      </w:pPr>
    </w:p>
    <w:p w14:paraId="0B000000">
      <w:pPr>
        <w:spacing w:after="160" w:line="264" w:lineRule="auto"/>
        <w:ind/>
        <w:jc w:val="center"/>
        <w:rPr>
          <w:rFonts w:ascii="Times New Roman" w:hAnsi="Times New Roman"/>
          <w:sz w:val="28"/>
        </w:rPr>
      </w:pPr>
    </w:p>
    <w:p w14:paraId="0C000000">
      <w:pPr>
        <w:spacing w:after="160" w:line="264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Реферат по физкультуре на тему:</w:t>
      </w:r>
    </w:p>
    <w:p w14:paraId="0D000000">
      <w:pPr>
        <w:spacing w:after="160" w:line="360" w:lineRule="auto"/>
        <w:ind/>
        <w:jc w:val="center"/>
        <w:rPr>
          <w:rFonts w:ascii="Times New Roman" w:hAnsi="Times New Roman"/>
          <w:sz w:val="72"/>
        </w:rPr>
      </w:pPr>
      <w:r>
        <w:rPr>
          <w:rFonts w:ascii="Times New Roman" w:hAnsi="Times New Roman"/>
          <w:sz w:val="72"/>
        </w:rPr>
        <w:t>«ГТО»</w:t>
      </w:r>
    </w:p>
    <w:p w14:paraId="0E000000">
      <w:pPr>
        <w:spacing w:after="160" w:line="264" w:lineRule="auto"/>
        <w:ind/>
        <w:jc w:val="center"/>
        <w:rPr>
          <w:rFonts w:ascii="Times New Roman" w:hAnsi="Times New Roman"/>
          <w:sz w:val="28"/>
        </w:rPr>
      </w:pPr>
    </w:p>
    <w:p w14:paraId="0F000000">
      <w:pPr>
        <w:spacing w:after="160" w:line="264" w:lineRule="auto"/>
        <w:ind/>
        <w:jc w:val="center"/>
        <w:rPr>
          <w:rFonts w:ascii="Times New Roman" w:hAnsi="Times New Roman"/>
          <w:sz w:val="28"/>
        </w:rPr>
      </w:pPr>
    </w:p>
    <w:p w14:paraId="10000000">
      <w:pPr>
        <w:spacing w:after="160" w:line="264" w:lineRule="auto"/>
        <w:ind/>
        <w:jc w:val="center"/>
        <w:rPr>
          <w:rFonts w:ascii="Times New Roman" w:hAnsi="Times New Roman"/>
          <w:sz w:val="28"/>
        </w:rPr>
      </w:pPr>
    </w:p>
    <w:p w14:paraId="11000000">
      <w:pPr>
        <w:spacing w:after="160" w:line="264" w:lineRule="auto"/>
        <w:ind/>
        <w:jc w:val="center"/>
        <w:rPr>
          <w:rFonts w:ascii="Times New Roman" w:hAnsi="Times New Roman"/>
          <w:sz w:val="28"/>
        </w:rPr>
      </w:pPr>
    </w:p>
    <w:p w14:paraId="12000000">
      <w:pPr>
        <w:spacing w:after="160" w:line="36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Выполнил: Балакирев </w:t>
      </w:r>
      <w:r>
        <w:rPr>
          <w:rFonts w:ascii="Times New Roman" w:hAnsi="Times New Roman"/>
          <w:sz w:val="28"/>
        </w:rPr>
        <w:t>Артём</w:t>
      </w:r>
    </w:p>
    <w:p w14:paraId="13000000">
      <w:pPr>
        <w:spacing w:after="160" w:line="36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учени</w:t>
      </w: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9</w:t>
      </w:r>
      <w:r>
        <w:rPr>
          <w:rFonts w:ascii="Times New Roman" w:hAnsi="Times New Roman"/>
          <w:sz w:val="28"/>
        </w:rPr>
        <w:t xml:space="preserve"> «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z w:val="28"/>
        </w:rPr>
        <w:t>» класса</w:t>
      </w:r>
    </w:p>
    <w:p w14:paraId="14000000">
      <w:pPr>
        <w:spacing w:after="160" w:line="360" w:lineRule="auto"/>
        <w:ind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Преподаватель</w:t>
      </w:r>
      <w:r>
        <w:rPr>
          <w:rFonts w:ascii="Times New Roman" w:hAnsi="Times New Roman"/>
          <w:sz w:val="28"/>
        </w:rPr>
        <w:t xml:space="preserve">: </w:t>
      </w:r>
      <w:r>
        <w:rPr>
          <w:rFonts w:ascii="Times New Roman" w:hAnsi="Times New Roman"/>
          <w:sz w:val="28"/>
        </w:rPr>
        <w:t>Князева Ирина Юрьевна</w:t>
      </w:r>
    </w:p>
    <w:p w14:paraId="15000000">
      <w:pPr>
        <w:spacing w:after="160" w:line="264" w:lineRule="auto"/>
        <w:ind/>
        <w:jc w:val="right"/>
        <w:rPr>
          <w:rFonts w:ascii="Times New Roman" w:hAnsi="Times New Roman"/>
          <w:sz w:val="28"/>
        </w:rPr>
      </w:pPr>
    </w:p>
    <w:p w14:paraId="16000000">
      <w:pPr>
        <w:spacing w:after="160" w:line="264" w:lineRule="auto"/>
        <w:ind/>
        <w:jc w:val="right"/>
        <w:rPr>
          <w:rFonts w:ascii="Times New Roman" w:hAnsi="Times New Roman"/>
          <w:sz w:val="28"/>
        </w:rPr>
      </w:pPr>
    </w:p>
    <w:p w14:paraId="17000000">
      <w:pPr>
        <w:spacing w:after="160" w:line="264" w:lineRule="auto"/>
        <w:ind/>
        <w:jc w:val="right"/>
        <w:rPr>
          <w:rFonts w:ascii="Times New Roman" w:hAnsi="Times New Roman"/>
          <w:sz w:val="28"/>
        </w:rPr>
      </w:pPr>
    </w:p>
    <w:p w14:paraId="18000000">
      <w:pPr>
        <w:spacing w:after="160" w:line="264" w:lineRule="auto"/>
        <w:ind/>
        <w:jc w:val="right"/>
        <w:rPr>
          <w:rFonts w:ascii="Times New Roman" w:hAnsi="Times New Roman"/>
          <w:sz w:val="28"/>
        </w:rPr>
      </w:pPr>
    </w:p>
    <w:p w14:paraId="19000000">
      <w:pPr>
        <w:spacing w:after="160" w:line="264" w:lineRule="auto"/>
        <w:ind/>
        <w:jc w:val="right"/>
        <w:rPr>
          <w:rFonts w:ascii="Times New Roman" w:hAnsi="Times New Roman"/>
          <w:sz w:val="28"/>
        </w:rPr>
      </w:pPr>
    </w:p>
    <w:p w14:paraId="1A000000">
      <w:pPr>
        <w:spacing w:after="160" w:line="264" w:lineRule="auto"/>
        <w:ind/>
        <w:jc w:val="right"/>
        <w:rPr>
          <w:rFonts w:ascii="Times New Roman" w:hAnsi="Times New Roman"/>
          <w:sz w:val="28"/>
        </w:rPr>
      </w:pPr>
    </w:p>
    <w:p w14:paraId="1B000000">
      <w:pPr>
        <w:spacing w:after="160" w:line="264" w:lineRule="auto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Казань 202</w:t>
      </w:r>
      <w:r>
        <w:rPr>
          <w:rFonts w:ascii="Times New Roman" w:hAnsi="Times New Roman"/>
          <w:sz w:val="28"/>
        </w:rPr>
        <w:t>4</w:t>
      </w:r>
    </w:p>
    <w:p w14:paraId="1C000000">
      <w:pPr>
        <w:spacing w:afterAutospacing="on" w:beforeAutospacing="on" w:line="360" w:lineRule="auto"/>
        <w:ind w:firstLine="0" w:left="36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 xml:space="preserve">СОДЕРЖАНИЕ:   </w:t>
      </w:r>
      <w:r>
        <w:rPr>
          <w:rFonts w:ascii="Times New Roman" w:hAnsi="Times New Roman"/>
          <w:b w:val="1"/>
          <w:sz w:val="28"/>
        </w:rPr>
        <w:t xml:space="preserve">                                        </w:t>
      </w:r>
      <w:r>
        <w:rPr>
          <w:rFonts w:ascii="Times New Roman" w:hAnsi="Times New Roman"/>
          <w:sz w:val="28"/>
        </w:rPr>
        <w:t>стр.</w:t>
      </w:r>
    </w:p>
    <w:p w14:paraId="1D000000">
      <w:pPr>
        <w:spacing w:afterAutospacing="on" w:beforeAutospacing="on" w:line="36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Введение…………………………………………………………</w:t>
      </w:r>
      <w:r>
        <w:rPr>
          <w:rFonts w:ascii="Times New Roman" w:hAnsi="Times New Roman"/>
          <w:sz w:val="28"/>
        </w:rPr>
        <w:t>…….</w:t>
      </w:r>
      <w:r>
        <w:rPr>
          <w:rFonts w:ascii="Times New Roman" w:hAnsi="Times New Roman"/>
          <w:sz w:val="28"/>
        </w:rPr>
        <w:t>.…………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3</w:t>
      </w:r>
    </w:p>
    <w:p w14:paraId="1E000000">
      <w:pPr>
        <w:pStyle w:val="Style_2"/>
        <w:numPr>
          <w:ilvl w:val="0"/>
          <w:numId w:val="1"/>
        </w:numPr>
        <w:spacing w:afterAutospacing="on" w:beforeAutospacing="on" w:line="360" w:lineRule="auto"/>
        <w:ind w:hanging="284"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История возникновения комплекса ГТО </w:t>
      </w:r>
      <w:r>
        <w:rPr>
          <w:rFonts w:ascii="Times New Roman" w:hAnsi="Times New Roman"/>
          <w:sz w:val="28"/>
        </w:rPr>
        <w:t>……………</w:t>
      </w:r>
      <w:r>
        <w:rPr>
          <w:rFonts w:ascii="Times New Roman" w:hAnsi="Times New Roman"/>
          <w:sz w:val="28"/>
        </w:rPr>
        <w:t>…….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…</w:t>
      </w:r>
      <w:r>
        <w:rPr>
          <w:rFonts w:ascii="Times New Roman" w:hAnsi="Times New Roman"/>
          <w:sz w:val="28"/>
        </w:rPr>
        <w:t>…...</w:t>
      </w:r>
      <w:r>
        <w:rPr>
          <w:rFonts w:ascii="Times New Roman" w:hAnsi="Times New Roman"/>
          <w:sz w:val="28"/>
        </w:rPr>
        <w:t>…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…</w:t>
      </w:r>
      <w:r>
        <w:rPr>
          <w:rFonts w:ascii="Times New Roman" w:hAnsi="Times New Roman"/>
          <w:sz w:val="28"/>
        </w:rPr>
        <w:t>…</w:t>
      </w:r>
      <w:r>
        <w:rPr>
          <w:rFonts w:ascii="Times New Roman" w:hAnsi="Times New Roman"/>
          <w:sz w:val="28"/>
        </w:rPr>
        <w:t>….</w:t>
      </w:r>
      <w:r>
        <w:rPr>
          <w:rFonts w:ascii="Times New Roman" w:hAnsi="Times New Roman"/>
          <w:sz w:val="28"/>
        </w:rPr>
        <w:t>4</w:t>
      </w:r>
    </w:p>
    <w:p w14:paraId="1F000000">
      <w:pPr>
        <w:pStyle w:val="Style_2"/>
        <w:numPr>
          <w:ilvl w:val="0"/>
          <w:numId w:val="1"/>
        </w:numPr>
        <w:spacing w:afterAutospacing="on" w:beforeAutospacing="on" w:line="360" w:lineRule="auto"/>
        <w:ind w:hanging="284"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Структура </w:t>
      </w:r>
      <w:r>
        <w:rPr>
          <w:rFonts w:ascii="Times New Roman" w:hAnsi="Times New Roman"/>
          <w:sz w:val="28"/>
        </w:rPr>
        <w:t>комплекса ГТО…………………………...</w:t>
      </w:r>
      <w:r>
        <w:rPr>
          <w:rFonts w:ascii="Times New Roman" w:hAnsi="Times New Roman"/>
          <w:sz w:val="28"/>
        </w:rPr>
        <w:t>....................</w:t>
      </w:r>
      <w:r>
        <w:rPr>
          <w:rFonts w:ascii="Times New Roman" w:hAnsi="Times New Roman"/>
          <w:sz w:val="28"/>
        </w:rPr>
        <w:t>..</w:t>
      </w:r>
      <w:r>
        <w:rPr>
          <w:rFonts w:ascii="Times New Roman" w:hAnsi="Times New Roman"/>
          <w:sz w:val="28"/>
        </w:rPr>
        <w:t>..</w:t>
      </w:r>
      <w:r>
        <w:rPr>
          <w:rFonts w:ascii="Times New Roman" w:hAnsi="Times New Roman"/>
          <w:sz w:val="28"/>
        </w:rPr>
        <w:t>.............10</w:t>
      </w:r>
    </w:p>
    <w:p w14:paraId="20000000">
      <w:pPr>
        <w:pStyle w:val="Style_2"/>
        <w:numPr>
          <w:ilvl w:val="0"/>
          <w:numId w:val="1"/>
        </w:numPr>
        <w:spacing w:afterAutospacing="on" w:beforeAutospacing="on" w:line="360" w:lineRule="auto"/>
        <w:ind w:hanging="284" w:left="284" w:right="-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Возрождение комплекса ГТО в </w:t>
      </w:r>
      <w:r>
        <w:rPr>
          <w:rFonts w:ascii="Times New Roman" w:hAnsi="Times New Roman"/>
          <w:sz w:val="28"/>
        </w:rPr>
        <w:t>современной России (2007-2014</w:t>
      </w:r>
      <w:r>
        <w:rPr>
          <w:rFonts w:ascii="Times New Roman" w:hAnsi="Times New Roman"/>
          <w:sz w:val="28"/>
        </w:rPr>
        <w:t>гг.</w:t>
      </w:r>
      <w:r>
        <w:rPr>
          <w:rFonts w:ascii="Times New Roman" w:hAnsi="Times New Roman"/>
          <w:sz w:val="28"/>
        </w:rPr>
        <w:t>)</w:t>
      </w:r>
      <w:r>
        <w:rPr>
          <w:rFonts w:ascii="Times New Roman" w:hAnsi="Times New Roman"/>
          <w:sz w:val="28"/>
        </w:rPr>
        <w:t>…</w:t>
      </w:r>
      <w:r>
        <w:rPr>
          <w:rFonts w:ascii="Times New Roman" w:hAnsi="Times New Roman"/>
          <w:sz w:val="28"/>
        </w:rPr>
        <w:t>…….</w:t>
      </w:r>
      <w:r>
        <w:rPr>
          <w:rFonts w:ascii="Times New Roman" w:hAnsi="Times New Roman"/>
          <w:sz w:val="28"/>
        </w:rPr>
        <w:t>………….</w:t>
      </w:r>
      <w:r>
        <w:rPr>
          <w:rFonts w:ascii="Times New Roman" w:hAnsi="Times New Roman"/>
          <w:sz w:val="28"/>
        </w:rPr>
        <w:t>………</w:t>
      </w:r>
      <w:r>
        <w:rPr>
          <w:rFonts w:ascii="Times New Roman" w:hAnsi="Times New Roman"/>
          <w:sz w:val="28"/>
        </w:rPr>
        <w:t>………………………….</w:t>
      </w:r>
      <w:r>
        <w:rPr>
          <w:rFonts w:ascii="Times New Roman" w:hAnsi="Times New Roman"/>
          <w:sz w:val="28"/>
        </w:rPr>
        <w:t>....</w:t>
      </w:r>
      <w:r>
        <w:rPr>
          <w:rFonts w:ascii="Times New Roman" w:hAnsi="Times New Roman"/>
          <w:sz w:val="28"/>
        </w:rPr>
        <w:t>…………</w:t>
      </w:r>
      <w:r>
        <w:rPr>
          <w:rFonts w:ascii="Times New Roman" w:hAnsi="Times New Roman"/>
          <w:sz w:val="28"/>
        </w:rPr>
        <w:t>...</w:t>
      </w:r>
      <w:r>
        <w:rPr>
          <w:rFonts w:ascii="Times New Roman" w:hAnsi="Times New Roman"/>
          <w:sz w:val="28"/>
        </w:rPr>
        <w:t>…</w:t>
      </w:r>
      <w:r>
        <w:rPr>
          <w:rFonts w:ascii="Times New Roman" w:hAnsi="Times New Roman"/>
          <w:sz w:val="28"/>
        </w:rPr>
        <w:t>13</w:t>
      </w:r>
    </w:p>
    <w:p w14:paraId="21000000">
      <w:pPr>
        <w:pStyle w:val="Style_2"/>
        <w:numPr>
          <w:ilvl w:val="0"/>
          <w:numId w:val="1"/>
        </w:numPr>
        <w:spacing w:afterAutospacing="on" w:beforeAutospacing="on" w:line="360" w:lineRule="auto"/>
        <w:ind w:hanging="284"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Ступени ГТО…………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………..</w:t>
      </w:r>
      <w:r>
        <w:rPr>
          <w:rFonts w:ascii="Times New Roman" w:hAnsi="Times New Roman"/>
          <w:sz w:val="28"/>
        </w:rPr>
        <w:t>.......</w:t>
      </w:r>
      <w:r>
        <w:rPr>
          <w:rFonts w:ascii="Times New Roman" w:hAnsi="Times New Roman"/>
          <w:sz w:val="28"/>
        </w:rPr>
        <w:t>...........</w:t>
      </w:r>
      <w:r>
        <w:rPr>
          <w:rFonts w:ascii="Times New Roman" w:hAnsi="Times New Roman"/>
          <w:sz w:val="28"/>
        </w:rPr>
        <w:t>.......................................</w:t>
      </w:r>
      <w:r>
        <w:rPr>
          <w:rFonts w:ascii="Times New Roman" w:hAnsi="Times New Roman"/>
          <w:sz w:val="28"/>
        </w:rPr>
        <w:t>.........</w:t>
      </w:r>
      <w:r>
        <w:rPr>
          <w:rFonts w:ascii="Times New Roman" w:hAnsi="Times New Roman"/>
          <w:sz w:val="28"/>
        </w:rPr>
        <w:t>.....16</w:t>
      </w:r>
    </w:p>
    <w:p w14:paraId="22000000">
      <w:pPr>
        <w:numPr>
          <w:ilvl w:val="0"/>
          <w:numId w:val="1"/>
        </w:numPr>
        <w:spacing w:afterAutospacing="on" w:beforeAutospacing="on" w:line="360" w:lineRule="auto"/>
        <w:ind w:hanging="284"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Нормативы для мужчин</w:t>
      </w:r>
      <w:r>
        <w:rPr>
          <w:rFonts w:ascii="Times New Roman" w:hAnsi="Times New Roman"/>
          <w:sz w:val="28"/>
        </w:rPr>
        <w:t>….......</w:t>
      </w:r>
      <w:r>
        <w:rPr>
          <w:rFonts w:ascii="Times New Roman" w:hAnsi="Times New Roman"/>
          <w:sz w:val="28"/>
        </w:rPr>
        <w:t>...................................</w:t>
      </w:r>
      <w:r>
        <w:rPr>
          <w:rFonts w:ascii="Times New Roman" w:hAnsi="Times New Roman"/>
          <w:sz w:val="28"/>
        </w:rPr>
        <w:t>………………</w:t>
      </w:r>
      <w:r>
        <w:rPr>
          <w:rFonts w:ascii="Times New Roman" w:hAnsi="Times New Roman"/>
          <w:sz w:val="28"/>
        </w:rPr>
        <w:t>…</w:t>
      </w:r>
      <w:r>
        <w:rPr>
          <w:rFonts w:ascii="Times New Roman" w:hAnsi="Times New Roman"/>
          <w:sz w:val="28"/>
        </w:rPr>
        <w:t>…</w:t>
      </w:r>
      <w:r>
        <w:rPr>
          <w:rFonts w:ascii="Times New Roman" w:hAnsi="Times New Roman"/>
          <w:sz w:val="28"/>
        </w:rPr>
        <w:t>….</w:t>
      </w:r>
      <w:r>
        <w:rPr>
          <w:rFonts w:ascii="Times New Roman" w:hAnsi="Times New Roman"/>
          <w:sz w:val="28"/>
        </w:rPr>
        <w:t>.21</w:t>
      </w:r>
    </w:p>
    <w:p w14:paraId="23000000">
      <w:pPr>
        <w:numPr>
          <w:ilvl w:val="0"/>
          <w:numId w:val="1"/>
        </w:numPr>
        <w:spacing w:afterAutospacing="on" w:beforeAutospacing="on" w:line="360" w:lineRule="auto"/>
        <w:ind w:hanging="284"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Нормативы для женщин………………………………………………………</w:t>
      </w:r>
      <w:r>
        <w:rPr>
          <w:rFonts w:ascii="Times New Roman" w:hAnsi="Times New Roman"/>
          <w:sz w:val="28"/>
        </w:rPr>
        <w:t>23</w:t>
      </w:r>
    </w:p>
    <w:p w14:paraId="24000000">
      <w:pPr>
        <w:numPr>
          <w:ilvl w:val="0"/>
          <w:numId w:val="1"/>
        </w:numPr>
        <w:spacing w:afterAutospacing="on" w:beforeAutospacing="on" w:line="360" w:lineRule="auto"/>
        <w:ind w:hanging="284"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Рекорды ГТО…………………</w:t>
      </w:r>
      <w:r>
        <w:rPr>
          <w:rFonts w:ascii="Times New Roman" w:hAnsi="Times New Roman"/>
          <w:sz w:val="28"/>
        </w:rPr>
        <w:t>…….</w:t>
      </w:r>
      <w:r>
        <w:rPr>
          <w:rFonts w:ascii="Times New Roman" w:hAnsi="Times New Roman"/>
          <w:sz w:val="28"/>
        </w:rPr>
        <w:t>….</w:t>
      </w:r>
      <w:r>
        <w:rPr>
          <w:rFonts w:ascii="Times New Roman" w:hAnsi="Times New Roman"/>
          <w:sz w:val="28"/>
        </w:rPr>
        <w:t>……………………</w:t>
      </w:r>
      <w:r>
        <w:rPr>
          <w:rFonts w:ascii="Times New Roman" w:hAnsi="Times New Roman"/>
          <w:sz w:val="28"/>
        </w:rPr>
        <w:t>…..</w:t>
      </w:r>
      <w:r>
        <w:rPr>
          <w:rFonts w:ascii="Times New Roman" w:hAnsi="Times New Roman"/>
          <w:sz w:val="28"/>
        </w:rPr>
        <w:t>…………</w:t>
      </w:r>
      <w:r>
        <w:rPr>
          <w:rFonts w:ascii="Times New Roman" w:hAnsi="Times New Roman"/>
          <w:sz w:val="28"/>
        </w:rPr>
        <w:t>...</w:t>
      </w:r>
      <w:r>
        <w:rPr>
          <w:rFonts w:ascii="Times New Roman" w:hAnsi="Times New Roman"/>
          <w:sz w:val="28"/>
        </w:rPr>
        <w:t>...</w:t>
      </w:r>
      <w:r>
        <w:rPr>
          <w:rFonts w:ascii="Times New Roman" w:hAnsi="Times New Roman"/>
          <w:sz w:val="28"/>
        </w:rPr>
        <w:t>24</w:t>
      </w:r>
    </w:p>
    <w:p w14:paraId="25000000">
      <w:pPr>
        <w:numPr>
          <w:ilvl w:val="0"/>
          <w:numId w:val="1"/>
        </w:numPr>
        <w:spacing w:afterAutospacing="on" w:beforeAutospacing="on" w:line="360" w:lineRule="auto"/>
        <w:ind w:hanging="284"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Анализ ГТО в разных </w:t>
      </w:r>
      <w:r>
        <w:rPr>
          <w:rFonts w:ascii="Times New Roman" w:hAnsi="Times New Roman"/>
          <w:sz w:val="28"/>
        </w:rPr>
        <w:t>странах…………………………………………</w:t>
      </w:r>
      <w:r>
        <w:rPr>
          <w:rFonts w:ascii="Times New Roman" w:hAnsi="Times New Roman"/>
          <w:sz w:val="28"/>
        </w:rPr>
        <w:t>…….</w:t>
      </w:r>
      <w:r>
        <w:rPr>
          <w:rFonts w:ascii="Times New Roman" w:hAnsi="Times New Roman"/>
          <w:sz w:val="28"/>
        </w:rPr>
        <w:t>.25</w:t>
      </w:r>
    </w:p>
    <w:p w14:paraId="26000000">
      <w:pPr>
        <w:pStyle w:val="Style_2"/>
        <w:spacing w:afterAutospacing="on" w:beforeAutospacing="on" w:line="360" w:lineRule="auto"/>
        <w:ind w:firstLine="0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Заключение</w:t>
      </w:r>
      <w:r>
        <w:rPr>
          <w:rFonts w:ascii="Times New Roman" w:hAnsi="Times New Roman"/>
          <w:sz w:val="28"/>
        </w:rPr>
        <w:t xml:space="preserve"> ……………………………………………………...…</w:t>
      </w:r>
      <w:r>
        <w:rPr>
          <w:rFonts w:ascii="Times New Roman" w:hAnsi="Times New Roman"/>
          <w:sz w:val="28"/>
        </w:rPr>
        <w:t>…</w:t>
      </w:r>
      <w:r>
        <w:rPr>
          <w:rFonts w:ascii="Times New Roman" w:hAnsi="Times New Roman"/>
          <w:sz w:val="28"/>
        </w:rPr>
        <w:t>…….</w:t>
      </w:r>
      <w:r>
        <w:rPr>
          <w:rFonts w:ascii="Times New Roman" w:hAnsi="Times New Roman"/>
          <w:sz w:val="28"/>
        </w:rPr>
        <w:t>……</w:t>
      </w:r>
      <w:r>
        <w:rPr>
          <w:rFonts w:ascii="Times New Roman" w:hAnsi="Times New Roman"/>
          <w:sz w:val="28"/>
        </w:rPr>
        <w:t>26</w:t>
      </w:r>
    </w:p>
    <w:p w14:paraId="27000000">
      <w:pPr>
        <w:spacing w:afterAutospacing="on" w:beforeAutospacing="on" w:line="36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Список информационных источников…………</w:t>
      </w:r>
      <w:r>
        <w:rPr>
          <w:rFonts w:ascii="Times New Roman" w:hAnsi="Times New Roman"/>
          <w:sz w:val="28"/>
        </w:rPr>
        <w:t>…….</w:t>
      </w:r>
      <w:r>
        <w:rPr>
          <w:rFonts w:ascii="Times New Roman" w:hAnsi="Times New Roman"/>
          <w:sz w:val="28"/>
        </w:rPr>
        <w:t>………………….…</w:t>
      </w:r>
      <w:r>
        <w:rPr>
          <w:rFonts w:ascii="Times New Roman" w:hAnsi="Times New Roman"/>
          <w:sz w:val="28"/>
        </w:rPr>
        <w:t>…...</w:t>
      </w:r>
      <w:r>
        <w:rPr>
          <w:rFonts w:ascii="Times New Roman" w:hAnsi="Times New Roman"/>
          <w:sz w:val="28"/>
        </w:rPr>
        <w:t>26</w:t>
      </w:r>
    </w:p>
    <w:p w14:paraId="28000000">
      <w:pPr>
        <w:spacing w:line="360" w:lineRule="auto"/>
        <w:ind w:firstLine="709" w:left="0"/>
      </w:pPr>
    </w:p>
    <w:p w14:paraId="29000000">
      <w:pPr>
        <w:spacing w:line="360" w:lineRule="auto"/>
        <w:ind w:firstLine="709" w:left="0"/>
      </w:pPr>
    </w:p>
    <w:p w14:paraId="2A000000">
      <w:pPr>
        <w:spacing w:line="360" w:lineRule="auto"/>
        <w:ind w:firstLine="709" w:left="0"/>
      </w:pPr>
    </w:p>
    <w:p w14:paraId="2B000000">
      <w:pPr>
        <w:spacing w:line="360" w:lineRule="auto"/>
        <w:ind w:firstLine="709" w:left="0"/>
      </w:pPr>
    </w:p>
    <w:p w14:paraId="2C000000">
      <w:pPr>
        <w:spacing w:line="360" w:lineRule="auto"/>
        <w:ind w:firstLine="709" w:left="0"/>
      </w:pPr>
    </w:p>
    <w:p w14:paraId="2D000000">
      <w:pPr>
        <w:spacing w:line="360" w:lineRule="auto"/>
        <w:ind w:firstLine="709" w:left="0"/>
      </w:pPr>
    </w:p>
    <w:p w14:paraId="2E000000">
      <w:pPr>
        <w:spacing w:line="360" w:lineRule="auto"/>
        <w:ind w:firstLine="709" w:left="0"/>
      </w:pPr>
    </w:p>
    <w:p w14:paraId="2F000000">
      <w:pPr>
        <w:spacing w:line="360" w:lineRule="auto"/>
        <w:ind w:firstLine="709" w:left="0"/>
      </w:pPr>
    </w:p>
    <w:p w14:paraId="30000000">
      <w:pPr>
        <w:spacing w:line="360" w:lineRule="auto"/>
        <w:ind w:firstLine="709" w:left="0"/>
      </w:pPr>
    </w:p>
    <w:p w14:paraId="31000000">
      <w:pPr>
        <w:spacing w:line="360" w:lineRule="auto"/>
        <w:ind w:firstLine="709" w:left="0"/>
      </w:pPr>
    </w:p>
    <w:p w14:paraId="32000000">
      <w:pPr>
        <w:spacing w:line="360" w:lineRule="auto"/>
        <w:ind w:firstLine="709" w:left="0"/>
      </w:pPr>
    </w:p>
    <w:p w14:paraId="33000000">
      <w:pPr>
        <w:spacing w:line="360" w:lineRule="auto"/>
        <w:ind w:firstLine="709" w:left="0"/>
      </w:pPr>
    </w:p>
    <w:p w14:paraId="34000000">
      <w:pPr>
        <w:spacing w:line="360" w:lineRule="auto"/>
        <w:ind w:firstLine="709" w:left="0"/>
      </w:pPr>
    </w:p>
    <w:p w14:paraId="35000000">
      <w:pPr>
        <w:spacing w:line="360" w:lineRule="auto"/>
        <w:ind w:firstLine="709" w:left="0"/>
      </w:pPr>
    </w:p>
    <w:p w14:paraId="36000000">
      <w:pPr>
        <w:spacing w:line="360" w:lineRule="auto"/>
        <w:ind w:firstLine="709" w:left="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Введение</w:t>
      </w:r>
    </w:p>
    <w:p w14:paraId="37000000">
      <w:pPr>
        <w:spacing w:line="360" w:lineRule="auto"/>
        <w:ind w:firstLine="709" w:left="0"/>
        <w:jc w:val="right"/>
        <w:rPr>
          <w:rFonts w:ascii="Times New Roman" w:hAnsi="Times New Roman"/>
          <w:sz w:val="28"/>
        </w:rPr>
      </w:pPr>
    </w:p>
    <w:p w14:paraId="38000000">
      <w:pPr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ГТО - три буквы, значение которых знает любой житель нашей страны.</w:t>
      </w:r>
    </w:p>
    <w:p w14:paraId="39000000">
      <w:pPr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Комплекс «Готов к труду и обороне» - это своего рода некий венец советской системы физического воспитания, ее программная и нормативная основа.</w:t>
      </w:r>
    </w:p>
    <w:p w14:paraId="3A000000">
      <w:pPr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Комплекс ГТО направлен на то, чтобы сформировать моральный и духовный облик советских людей, гармонично и всесторонне развить их физические и нравственные качества, укрепить здоровье и повысить творческую и трудовую активность.</w:t>
      </w:r>
    </w:p>
    <w:p w14:paraId="3B000000">
      <w:pPr>
        <w:spacing w:line="360" w:lineRule="auto"/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drawing>
          <wp:inline>
            <wp:extent cx="3327372" cy="2322889"/>
            <wp:effectExtent b="0" l="0" r="0" t="0"/>
            <wp:docPr hidden="false" id="1" name="Picture 1"/>
            <a:graphic>
              <a:graphicData uri="http://schemas.openxmlformats.org/drawingml/2006/picture">
                <pic:pic>
                  <pic:nvPicPr>
                    <pic:cNvPr hidden="false" id="2" name="Picture 2"/>
                    <pic:cNvPicPr preferRelativeResize="true"/>
                  </pic:nvPicPr>
                  <pic:blipFill>
                    <a:blip r:embed="rId2"/>
                    <a:srcRect b="0" l="0" r="0" t="0"/>
                    <a:stretch/>
                  </pic:blipFill>
                  <pic:spPr>
                    <a:xfrm flipH="false" flipV="false" rot="0">
                      <a:ext cx="3327372" cy="2322889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3C000000">
      <w:pPr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Вот перечень основных задач, которые решал комплекс ГТО:</w:t>
      </w:r>
    </w:p>
    <w:p w14:paraId="3D000000">
      <w:pPr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использование физической культуры как важнейшего составного элемента советского образа жизни;</w:t>
      </w:r>
    </w:p>
    <w:p w14:paraId="3E000000">
      <w:pPr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достижение высокого уровня физической подготовленности советского народа, обеспечивающей творческое долголетие, необходимое состояние здоровья, высокопроизводительный труд, готовность к защите Родины;</w:t>
      </w:r>
    </w:p>
    <w:p w14:paraId="3F000000">
      <w:pPr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широкая и всесторонняя пропаганда физической культуры среди различных категорий населения;</w:t>
      </w:r>
    </w:p>
    <w:p w14:paraId="40000000">
      <w:pPr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воспитание у советских людей потребности в регулярных занятиях физическими упражнениями на протяжении всей жизни;</w:t>
      </w:r>
    </w:p>
    <w:p w14:paraId="41000000">
      <w:pPr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овладение основными положениями советской системы физического воспитания, знаниями и практическими навыками самостоятельных занятий физическими упражнениями, по гигиене и гражданской обороне;</w:t>
      </w:r>
    </w:p>
    <w:p w14:paraId="42000000">
      <w:pPr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массовое вовлечение населения в активную деятельность по участию в управлении самодеятельным физкультурным движением;</w:t>
      </w:r>
    </w:p>
    <w:p w14:paraId="43000000">
      <w:pPr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содействие развитию разнообразных форм занятий физическими упражнениями в режиме учебы, труда, отдыха;</w:t>
      </w:r>
    </w:p>
    <w:p w14:paraId="44000000">
      <w:pPr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организация рационального двигательного режима для всех возрастно-половых и социально-демографических групп населения;</w:t>
      </w:r>
    </w:p>
    <w:p w14:paraId="45000000">
      <w:pPr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развитие массового спорта, выявление и воспитание спортивных талантов.</w:t>
      </w:r>
    </w:p>
    <w:p w14:paraId="46000000">
      <w:pPr>
        <w:spacing w:line="360" w:lineRule="auto"/>
        <w:ind w:firstLine="709" w:left="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1"/>
          <w:sz w:val="28"/>
        </w:rPr>
        <w:t xml:space="preserve">1. </w:t>
      </w:r>
      <w:r>
        <w:rPr>
          <w:rFonts w:ascii="Times New Roman" w:hAnsi="Times New Roman"/>
          <w:b w:val="1"/>
          <w:sz w:val="28"/>
        </w:rPr>
        <w:t>История возникновения комплекса ГТО</w:t>
      </w:r>
    </w:p>
    <w:p w14:paraId="47000000">
      <w:pPr>
        <w:pStyle w:val="Style_2"/>
        <w:spacing w:line="360" w:lineRule="auto"/>
        <w:ind w:firstLine="0" w:left="1069"/>
        <w:rPr>
          <w:rFonts w:ascii="Times New Roman" w:hAnsi="Times New Roman"/>
          <w:b w:val="1"/>
          <w:sz w:val="28"/>
        </w:rPr>
      </w:pPr>
    </w:p>
    <w:p w14:paraId="48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Начиналось это так... Физкультурой и спортом в царской России занимались одиночки. Не до спортивных рекордов и не до оздоровительной гимнастики было питерскому рабочему или тамбовскому крестьянину. С первых же дней Советской власти вопросы физического воспитания стали одной из самых актуальных задач: молодой республике Советов нужны были здоровые люди, Красной Армии требовались сильные, выносливые и умелые бойцы, физическая культура и спорт должны были стать мощным средством нравственного воспитания молодежи. В день своего пятилетнего юбилея - 24 мая 1930 года - молодежная газета «Комсомольская правда» опубликовала подборку материалов, объединенных общим заголовком «Крепкие мышцы, зоркий глаз нужны каждому трудящемуся!». Газета справедливо отмечала, что, к сожалению, «занятия физическими упражнениями в наших кружках, на площадках и стадионах до сих пор еще мало приспособлены к требованиям </w:t>
      </w:r>
      <w:r>
        <w:rPr>
          <w:rFonts w:ascii="Times New Roman" w:hAnsi="Times New Roman"/>
          <w:sz w:val="28"/>
        </w:rPr>
        <w:t xml:space="preserve">производства, к требованиям обороны»,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, выражая мнение Центрального Комитета ВЛКСМ, предложила ввести нормативы, которые смогли бы проверить готовность трудящихся Страны Советов к труду и обороне. Каждый, кто сдаст эти нормативы, получает право носить почетную награду - значок с </w:t>
      </w:r>
      <w:r>
        <w:rPr>
          <w:rFonts w:ascii="Times New Roman" w:hAnsi="Times New Roman"/>
          <w:sz w:val="28"/>
        </w:rPr>
        <w:t>надписью</w:t>
      </w:r>
      <w:r>
        <w:rPr>
          <w:rFonts w:ascii="Times New Roman" w:hAnsi="Times New Roman"/>
          <w:sz w:val="28"/>
        </w:rPr>
        <w:t xml:space="preserve"> «Готов к труду и обороне». Призыв газеты и комсомола получил широкий отклик у граждан СССР. Писатель Максим Горький и ученый И.П. Павлов, многие другие известные всему миру и стране люди одобрили идею ГТО. Всесоюзный Центральный Совет Профессиональных Союзов принял специальное постановление, в котором отметил, что введение нормативов ГТО улучшит работу по военизации физической культуры, повысит внимание нашей общественности к всестороннему физическому воспитанию людей, строящих первое в мире социалистическое общество. Всесоюзный совет физической культуры при Центральном Исполнительном Комитете СССР 11 марта 1931 года утвердил комплекс «Готов к труду и обороне СССР».</w:t>
      </w:r>
    </w:p>
    <w:p w14:paraId="49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3314</wp:posOffset>
            </wp:positionH>
            <wp:positionV relativeFrom="paragraph">
              <wp:posOffset>-2679</wp:posOffset>
            </wp:positionV>
            <wp:extent cx="3192015" cy="2132901"/>
            <wp:effectExtent b="0" l="0" r="0" t="0"/>
            <wp:wrapSquare distB="0" distL="114300" distR="114300" distT="0" wrapText="bothSides"/>
            <wp:docPr hidden="false" id="3" name="Picture 3"/>
            <a:graphic>
              <a:graphicData uri="http://schemas.openxmlformats.org/drawingml/2006/picture">
                <pic:pic>
                  <pic:nvPicPr>
                    <pic:cNvPr hidden="false" id="4" name="Picture 4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3192015" cy="213290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</w:rPr>
        <w:t>По всей стране началась борьба за ГТО, в авангарде которой стали ленинградцы, в первую очередь - студенты старейшего в мире физкультурного вуза. «Сдача норм на значок ГТО становится делом чести каждого трудящегося» - справедливо писали газеты. В первом всесоюзном смотре-конкурсе, состоявшемся вскоре после введения комплекса ГТО, ленинградцы были «в числе немногих организаций, проведших первый смотр-конкурс по-боевому». К четырнадцатой годовщине Октября в Ленинграде было 7 тысяч человек, сдавших полностью нормативы комплекса ГТО. Зима 1931/32 года стала суровой проверкой для ленинградцев, ведущих «бой за ГТО».</w:t>
      </w:r>
    </w:p>
    <w:p w14:paraId="4A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Капризы ленинградской погоды общеизвестны. В ту зиму хорошего снега не было вплоть до февраля 1932 года. А когда снег наконец-то выпал, началось беспримерное в истории отечественной физической культуры и спорта массовое мероприятие: 140 тысяч человек стали на лыжи и сдали нормативы ГТО «Ленинград ощетинился лыжами. Ленинград теперь не только водный город, но и город лыж, - констатировала пресса. - Едва ли теперь в Ленинграде найдешь человека, который не знал бы трех букв - ГТО».</w:t>
      </w:r>
    </w:p>
    <w:p w14:paraId="4B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Свыше 50 руководящих работников и 350 студентов Института физкультуры имени П.Ф. Лесгафта и техникума физкультуры отправились на предприятия, чтобы организовать сдачу нормативов. Заводоуправления во главе с директорами первыми сдали лыжные нормы, показывая пример своим подчиненным.</w:t>
      </w:r>
    </w:p>
    <w:p w14:paraId="4C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Ответственные работники партийных и комсомольских организаций, председатели и члены президиумов райисполкомов, передовики труда были во главе сдающих нормативы ГТО.</w:t>
      </w:r>
    </w:p>
    <w:p w14:paraId="4D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Беседы и лекции, листовки и плакаты, стихотворные лозунги и радиопередачи, сводки и бюллетени, радиопереклички цехов, посвященные ГТО, трамваи, разукрашенные призывами к сдаче нормативов, наполнили наш город. Организациям, успешно наладившим сдачу нормативов ГТО, вручались красные знамена, отстающие получали переходящий «орден черепахи». Фотографии сдавших нормативы ГТО вывешивались на доске Почета вместе с фотографиями передовиков производства. Сдаче норм большое внимание уделяли газеты, журналы, радиовещание. «Борьба за ГТО» стала борьбой за популяризацию идей советской физической культуры, нашедших свое полное оформлен</w:t>
      </w:r>
      <w:r>
        <w:rPr>
          <w:rFonts w:ascii="Times New Roman" w:hAnsi="Times New Roman"/>
          <w:sz w:val="28"/>
        </w:rPr>
        <w:t>ие и завершение в комплексе ПХХ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Борьба эта велась вместе с общеполитической борьбой, с борьбой за укрепление всех звеньев физкультурного движения, в первую очередь низовых бригад, ячеек, групп. «Сдача норм становится делом не только физкультурников: массовая учеба, подготовка к сдаче норм становится делом всех трудящихся. Отличие минувшей зимы от прошлых в том, что сдавать нормы вместе с </w:t>
      </w:r>
      <w:r>
        <w:rPr>
          <w:rFonts w:ascii="Times New Roman" w:hAnsi="Times New Roman"/>
          <w:sz w:val="28"/>
        </w:rPr>
        <w:t>физкультурниками пошли массы рабочих не физкультурников. Обычным явлением становятся сдачи норм пожилыми, 50-70 лет, - констатирует брошюра «Ленинград в боях за ГТО», вышедшая в 1934 году. Вылазки учебные, вылазки на сдачу, тысячи людей на Неве, стадионах, заводских пунктах и базах, тысячи никогда не встававших на лыжи встали и пошли».</w:t>
      </w:r>
    </w:p>
    <w:p w14:paraId="4E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«Физкультурным орденом» назвал значок ГТО маршал К.Е. Ворошилов. Значок этот был изготовлен в 1931 году, после того как журнал «Физкультура и спорт» объявил конкурс, победителем которого вышел пятнадцатилетний школьник Г. </w:t>
      </w:r>
      <w:r>
        <w:rPr>
          <w:rFonts w:ascii="Times New Roman" w:hAnsi="Times New Roman"/>
          <w:sz w:val="28"/>
        </w:rPr>
        <w:t>Тактаров</w:t>
      </w:r>
      <w:r>
        <w:rPr>
          <w:rFonts w:ascii="Times New Roman" w:hAnsi="Times New Roman"/>
          <w:sz w:val="28"/>
        </w:rPr>
        <w:t>.</w:t>
      </w:r>
    </w:p>
    <w:p w14:paraId="4F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окончательной доработке эскиза школьнику помог известный художник М. </w:t>
      </w:r>
      <w:r>
        <w:rPr>
          <w:rFonts w:ascii="Times New Roman" w:hAnsi="Times New Roman"/>
          <w:sz w:val="28"/>
        </w:rPr>
        <w:t>Ягужинский</w:t>
      </w:r>
      <w:r>
        <w:rPr>
          <w:rFonts w:ascii="Times New Roman" w:hAnsi="Times New Roman"/>
          <w:sz w:val="28"/>
        </w:rPr>
        <w:t>, и значок - серебряный кружок на маленькой цепочке с цифрой I - получил полное одобрение.</w:t>
      </w:r>
    </w:p>
    <w:p w14:paraId="50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3314</wp:posOffset>
            </wp:positionH>
            <wp:positionV relativeFrom="paragraph">
              <wp:posOffset>1089</wp:posOffset>
            </wp:positionV>
            <wp:extent cx="3105415" cy="2850856"/>
            <wp:effectExtent b="0" l="0" r="0" t="0"/>
            <wp:wrapSquare distB="0" distL="114300" distR="114300" distT="0" wrapText="bothSides"/>
            <wp:docPr hidden="false" id="5" name="Picture 5"/>
            <a:graphic>
              <a:graphicData uri="http://schemas.openxmlformats.org/drawingml/2006/picture">
                <pic:pic>
                  <pic:nvPicPr>
                    <pic:cNvPr hidden="false" id="6" name="Picture 6"/>
                    <pic:cNvPicPr preferRelativeResize="true"/>
                  </pic:nvPicPr>
                  <pic:blipFill>
                    <a:blip r:embed="rId4"/>
                    <a:srcRect b="0" l="0" r="0" t="0"/>
                    <a:stretch/>
                  </pic:blipFill>
                  <pic:spPr>
                    <a:xfrm flipH="false" flipV="false" rot="0">
                      <a:ext cx="3105415" cy="2850856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</w:rPr>
        <w:t xml:space="preserve">Борьба за «физкультурный орден» вывела в большой спорт таких прославленных спортсменов, как братья Знаменские, Мария </w:t>
      </w:r>
      <w:r>
        <w:rPr>
          <w:rFonts w:ascii="Times New Roman" w:hAnsi="Times New Roman"/>
          <w:sz w:val="28"/>
        </w:rPr>
        <w:t>Шаманова</w:t>
      </w:r>
      <w:r>
        <w:rPr>
          <w:rFonts w:ascii="Times New Roman" w:hAnsi="Times New Roman"/>
          <w:sz w:val="28"/>
        </w:rPr>
        <w:t xml:space="preserve"> и многие другие. Нормативы ГТО одними из первых сдали известнейшие люди страны: шахтер Алексей Стаханов, балерина Галина Уланова, один из крупнейших математиков мира академик Андрей Николаевич Колмогоров, Герой Социалистического Труда Георгий Сперанский, Герой Советского Союза Марина </w:t>
      </w:r>
      <w:r>
        <w:rPr>
          <w:rFonts w:ascii="Times New Roman" w:hAnsi="Times New Roman"/>
          <w:sz w:val="28"/>
        </w:rPr>
        <w:t>Чечнева</w:t>
      </w:r>
      <w:r>
        <w:rPr>
          <w:rFonts w:ascii="Times New Roman" w:hAnsi="Times New Roman"/>
          <w:sz w:val="28"/>
        </w:rPr>
        <w:t>, трактористка Паша Ангелина.</w:t>
      </w:r>
    </w:p>
    <w:p w14:paraId="51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 мере того как комплекс ГТО все больше и больше становился общенародным делом, вносились коррективы и поправки в этот комплекс. Уже в 1932 году появилась вторая, более сложная, ступень ГТО. В 1934 году для подростков 13-14 и 15-16 лет были введены нормативы на значок «БГТО» </w:t>
      </w:r>
      <w:r>
        <w:rPr>
          <w:rFonts w:ascii="Times New Roman" w:hAnsi="Times New Roman"/>
          <w:sz w:val="28"/>
        </w:rPr>
        <w:t>- «Будь готов к труду и обороне». Сдача этих нормативов стала начальной ступенью всестороннего физического развития.</w:t>
      </w:r>
    </w:p>
    <w:p w14:paraId="52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тревожное предвоенное время Совет Народных Комиссаров Союза ССР принял 26 ноября 1939 года постановление «О введении нового физкультурного комплекса "Готов к труду и обороне СССР"», в котором была усилена военно-прикладная направленность комплекса. </w:t>
      </w:r>
      <w:r>
        <w:rPr>
          <w:rFonts w:ascii="Times New Roman" w:hAnsi="Times New Roman"/>
          <w:sz w:val="28"/>
        </w:rPr>
        <w:t>«Новый комплекс</w:t>
      </w:r>
      <w:r>
        <w:rPr>
          <w:rFonts w:ascii="Times New Roman" w:hAnsi="Times New Roman"/>
          <w:sz w:val="28"/>
        </w:rPr>
        <w:t>, - говорилось в постановлении, - утверждается в целях дальнейшего улучшения системы физической подготовки трудящихся СССР». Для сдачи нормативов нового комплекса вводились нормы обязательные и нормы по выбору.</w:t>
      </w:r>
    </w:p>
    <w:p w14:paraId="53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Всесоюзному комитету по физической культуре и спорту совместно с «нарком» союзных республик и Комитетом по делам высшей школы предлагалось пересмотреть программы по физическому воспитанию во всех звеньях нашей системы образования: в начальных и средних школах, в техникумах и вузах. И пересмотр этот должен был быть сделан на основе нового комплекса ГТО.</w:t>
      </w:r>
    </w:p>
    <w:p w14:paraId="54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3314</wp:posOffset>
            </wp:positionH>
            <wp:positionV relativeFrom="paragraph">
              <wp:posOffset>-2679</wp:posOffset>
            </wp:positionV>
            <wp:extent cx="3234978" cy="2074008"/>
            <wp:effectExtent b="0" l="0" r="0" t="0"/>
            <wp:wrapSquare distB="0" distL="114300" distR="114300" distT="0" wrapText="bothSides"/>
            <wp:docPr hidden="false" id="7" name="Picture 7"/>
            <a:graphic>
              <a:graphicData uri="http://schemas.openxmlformats.org/drawingml/2006/picture">
                <pic:pic>
                  <pic:nvPicPr>
                    <pic:cNvPr hidden="false" id="8" name="Picture 8"/>
                    <pic:cNvPicPr preferRelativeResize="true"/>
                  </pic:nvPicPr>
                  <pic:blipFill>
                    <a:blip r:embed="rId5"/>
                    <a:srcRect b="0" l="0" r="0" t="0"/>
                    <a:stretch/>
                  </pic:blipFill>
                  <pic:spPr>
                    <a:xfrm flipH="false" flipV="false" rot="0">
                      <a:ext cx="3234978" cy="2074008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</w:rPr>
        <w:t>«Всесоюзный физкультурный комплекс «Готов к труду и обороне СССР», таким образом, приобрел государственное значение, послужил прочной и надежной основой всей советской системы физического воспитания, - пишет «Энциклопедия значкиста ГТО» - За годы существования комплекса практически все поколения советских людей прошли через ГТО: сдавали его нормы, активно приобщались к физической культуре и спорту и благодаря этому приобретали крепкое здоровье, физическую закалку. Со значком ГТО спускались в забои шахтеры, вставали к мартенам сталевары, выходили в поле хлеборобы, отправлялись возводить новые города строители».</w:t>
      </w:r>
    </w:p>
    <w:p w14:paraId="55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Жизнь не стоит на месте. Менялись условия жизни наших людей, и закономерно встал вопрос об изменении нормативов ГТО, утвержденных в 1939 году. В разработке и обсуждении нового комплекса приняли участие ученые, тренеры, преподаватели физкультуры, ветераны-значкисты первого комплекса ГТО, работники спортивных организаций. Ценные предложения внесли Министерство просвещения СССР, Министерство среднего и высшего образования, Министерство обороны СССР, Министерство здравоохранения СССР, Центральный комитет ДОСААФ и многие другие организации. 17 января 1972 года было принято постановление ЦК КПСС и Совета Министров СССР «О введении нового Всесоюзного физкультурного комплекса "Готов к труду и обороне СССР" (ГТО)», который начал действовать 1 марта того же года. </w:t>
      </w:r>
      <w:r>
        <w:rPr>
          <w:rFonts w:ascii="Times New Roman" w:hAnsi="Times New Roman"/>
          <w:sz w:val="28"/>
        </w:rPr>
        <w:t>«Новый комплекс ГТО</w:t>
      </w:r>
      <w:r>
        <w:rPr>
          <w:rFonts w:ascii="Times New Roman" w:hAnsi="Times New Roman"/>
          <w:sz w:val="28"/>
        </w:rPr>
        <w:t>, - говорилось в постановлении,- являющийся программной и нормативной основой советской системы физического воспитания, призван сыграть важную роль в подготовке всесторонне развитых и физически совершенных людей, активных строителей коммунистического общества, стойких защитников Родины».</w:t>
      </w:r>
    </w:p>
    <w:p w14:paraId="56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3314</wp:posOffset>
            </wp:positionH>
            <wp:positionV relativeFrom="paragraph">
              <wp:posOffset>-2022</wp:posOffset>
            </wp:positionV>
            <wp:extent cx="3198817" cy="2167009"/>
            <wp:effectExtent b="0" l="0" r="0" t="0"/>
            <wp:wrapSquare distB="0" distL="114300" distR="114300" distT="0" wrapText="bothSides"/>
            <wp:docPr hidden="false" id="9" name="Picture 9"/>
            <a:graphic>
              <a:graphicData uri="http://schemas.openxmlformats.org/drawingml/2006/picture">
                <pic:pic>
                  <pic:nvPicPr>
                    <pic:cNvPr hidden="false" id="10" name="Picture 10"/>
                    <pic:cNvPicPr preferRelativeResize="true"/>
                  </pic:nvPicPr>
                  <pic:blipFill>
                    <a:blip r:embed="rId6"/>
                    <a:srcRect b="0" l="0" r="0" t="0"/>
                    <a:stretch/>
                  </pic:blipFill>
                  <pic:spPr>
                    <a:xfrm flipH="false" flipV="false" rot="0">
                      <a:ext cx="3198817" cy="2167009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</w:rPr>
        <w:t xml:space="preserve">Десятки миллионов людей сдали нормативы нового комплекса. Комплекс значительно раздвинул возрастные рамки, охватив как самых младших, так и самых старших. Как сказал академик АМН А. Покровский, новый комплекс ГТО в сочетании с принципами рационального питания, гигиены труда и отдыха является мощным фактором, способствующим сохранению более молодого биологического возраста для каждого человека. «Неверно, что спорт - прерогатива молодежи и студентов, - писал он - Я смею утверждать, что надобность в занятиях физической культурой и спортом возрастает вместе с возрастом. Физическая культура и спорт для молодежи - это одновременно </w:t>
      </w:r>
      <w:r>
        <w:rPr>
          <w:rFonts w:ascii="Times New Roman" w:hAnsi="Times New Roman"/>
          <w:sz w:val="28"/>
        </w:rPr>
        <w:t>источник силы, здоровья и развлечения. Для лиц же старшего возраста это абсолютная необходимость, это источник работоспособности, здоровья и продления активной деятельности. Однако успех, может быть достигнут только при включении физкультуры, и в частности элементов комплекса ГТО, в общую систему гигиенического режима жизни человека».</w:t>
      </w:r>
    </w:p>
    <w:p w14:paraId="57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sz w:val="28"/>
        </w:rPr>
      </w:pPr>
    </w:p>
    <w:p w14:paraId="58000000">
      <w:pPr>
        <w:pStyle w:val="Style_2"/>
        <w:spacing w:line="360" w:lineRule="auto"/>
        <w:ind w:firstLine="0" w:left="1069"/>
        <w:jc w:val="center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 xml:space="preserve">2. </w:t>
      </w:r>
      <w:r>
        <w:rPr>
          <w:rFonts w:ascii="Times New Roman" w:hAnsi="Times New Roman"/>
          <w:b w:val="1"/>
          <w:color w:val="000000"/>
          <w:sz w:val="28"/>
        </w:rPr>
        <w:t>Структура комплекса ГТО (СССР)</w:t>
      </w:r>
    </w:p>
    <w:p w14:paraId="59000000">
      <w:pPr>
        <w:spacing w:line="360" w:lineRule="auto"/>
        <w:ind w:firstLine="0" w:left="709"/>
        <w:rPr>
          <w:rFonts w:ascii="Times New Roman" w:hAnsi="Times New Roman"/>
          <w:b w:val="1"/>
          <w:color w:val="000000"/>
          <w:sz w:val="28"/>
        </w:rPr>
      </w:pPr>
    </w:p>
    <w:p w14:paraId="5A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Многие десятки миллионов наших граждан сдают нормативы комплекса ГТО. Всесоюзный совет по физкультурному комплексу «Готов к труду и обороне СССР», в состав которого входят ведущие специалисты по физическому воспитанию, возглавляет летчик-космонавт Советского Союза, заслуженный</w:t>
      </w:r>
      <w:r>
        <w:rPr>
          <w:rFonts w:ascii="Times New Roman" w:hAnsi="Times New Roman"/>
          <w:color w:val="000000"/>
          <w:sz w:val="28"/>
        </w:rPr>
        <w:t xml:space="preserve"> мастер спорта СССР А.А. Леонов.</w:t>
      </w:r>
      <w:r>
        <w:rPr>
          <w:rFonts w:ascii="Times New Roman" w:hAnsi="Times New Roman"/>
          <w:color w:val="000000"/>
          <w:sz w:val="28"/>
        </w:rPr>
        <w:t xml:space="preserve"> Этот совет осуществляет внедрение комплекса ГТО в жизнь. А помимо него советы или комиссии ГТО созданы во всех спорткомитетах, советах добровольных спортивных обществ, коллективах физической культуры предприятий, учреждений и учебных заведений. Сдача норм ГТО стала всенародным делом. Комплекс ГТО охватывает людей всех профессий и почти всех возрастов: от первоклассников до людей 60 лет.</w:t>
      </w:r>
    </w:p>
    <w:p w14:paraId="5B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Состоит комплекс из двух частей. Первая - «Будь готов к труду и обороне СССР» (БГТО) - охватывает школьников от 6 до 15 лет. Вторая - «Готов к труду и обороне СССР» (ГТО) - включает учащуюся молодежь и трудящихся от 16 до 60 лет. Комплекс БГТО состоит из четырех ступеней, комплекс ГТО - из трех. И каждая из ступеней Всесоюзного физкультурного комплекса «Готов к труду и обороне СССР» имеет четыре основных раздела: знания, умения, требования к двигательному режиму, виды испытаний и нормы.</w:t>
      </w:r>
    </w:p>
    <w:p w14:paraId="5C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Раздел знаний состоит из двух тем: физическая культура в повседневной жизни человека и ее значение для гражданской обороны. Раздел этот должен </w:t>
      </w:r>
      <w:r>
        <w:rPr>
          <w:rFonts w:ascii="Times New Roman" w:hAnsi="Times New Roman"/>
          <w:color w:val="000000"/>
          <w:sz w:val="28"/>
        </w:rPr>
        <w:t>оценить знания населения о влиянии физической культуры на достояние здоровья, повышение умственной и физической работоспособности человека, а также оценить знания по гражданской обороне.</w:t>
      </w:r>
    </w:p>
    <w:p w14:paraId="5D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Раздел умений предусматривает умение практически применять те или иные средства физической культуры в режиме труда, учебы, отдыха; умение применять гигиенические и закаливающие процедуры и средства самоконтроля за состоянием здоровья при групповых и самостоятельных занятиях физической культурой; владение основами гражданской обороны.</w:t>
      </w:r>
    </w:p>
    <w:p w14:paraId="5E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Раздел требований к двигательному режиму определяет минимальный объем физических упражнений, которые рекомендуется выполнить в течение каждой недели при подготовке к сдаче нормативов ГТО, наконец, раздел видов испытаний и норм состоит из различных тестов, которые позволяют определить разностороннее развитие физических качеств и степень овладения прикладными навыками. Нормативы комплекса ГТО позволяют в соответствии с возрастом оценить уровень развития физических качеств человека - быстроты, выносливости, силы, ловкости.</w:t>
      </w:r>
    </w:p>
    <w:p w14:paraId="5F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Нормативы и требования комплекса ГТО периодически изменялись: в 1934 году появился комплекс БГТО ("Будь готов к труду и обороне"); изменения вносились в 1940, 1947, 1955, 1959, 1965 годах. Последний Физкультурный комплекс ГТО был утвержден постановлением ЦК КПСС и Советом Министров СССР 17 января 1972 года. Он имел 5 возрастных ступеней (для каждой были установлены свои нормы и требования):</w:t>
      </w:r>
    </w:p>
    <w:p w14:paraId="60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- 1-я - "Смелые и ловкие" - 10-11 и 12-13 лет;</w:t>
      </w:r>
    </w:p>
    <w:p w14:paraId="61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- 2-я - "Спортивная смена" - 14-15 лет;</w:t>
      </w:r>
    </w:p>
    <w:p w14:paraId="62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- 3-я - "Сила и мужество" - 16-18 лет;</w:t>
      </w:r>
    </w:p>
    <w:p w14:paraId="63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- 4-я - "Физическое совершенство" - мужчины 19-28 и 29-39 лет, женщины 19-28 и 29-34 лет;</w:t>
      </w:r>
    </w:p>
    <w:p w14:paraId="64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- 5-я - "Бодрость и здоровье" - мужчины 40-60 лет, женщины 35-55 лет.</w:t>
      </w:r>
    </w:p>
    <w:p w14:paraId="65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 Вооружённых Силах СССР с 1972 года действует военно-спортивный комплекс (ВСК), соответствующий 4-й ступени ГТО.</w:t>
      </w:r>
    </w:p>
    <w:p w14:paraId="66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Физкультурный комплекс ГТО был органически связан с Единой Всесоюзной спортивной классификацией, которая определяла последовательность роста мастерства, уровень подготовленности спортсменов и развитие их достижений от массовых спортивных разрядов до высших классификационных категорий.</w:t>
      </w:r>
    </w:p>
    <w:p w14:paraId="67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Спортивные разряды и звания присваивались при условии сдачи спортсменами норм ГТО.</w:t>
      </w:r>
    </w:p>
    <w:p w14:paraId="68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 1980-е годы комплекс ГТО в очередной раз претерпел изменения, появилось разнообразие.</w:t>
      </w:r>
    </w:p>
    <w:p w14:paraId="69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Каждый мог выбрать тот комплекс, который был ему ближе по физическим возможностям.</w:t>
      </w:r>
    </w:p>
    <w:p w14:paraId="6A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Даты: С 1931 по 1941 год количество человек, сдавших нормы комплекса ГТО 1-й ступени, достигло 6 миллионов, а 2-й ступени - более 100 тысяч.</w:t>
      </w:r>
    </w:p>
    <w:p w14:paraId="6B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 1948 году в СССР насчитывалось 139 коллективов физкультуры и 7,7 миллиона физкультурников, а в 1977 году в стране было уже 219 тысяч коллективов физкультуры и свыше 52,3 миллиона физкультурников.</w:t>
      </w:r>
    </w:p>
    <w:p w14:paraId="6C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 1972-1975 гг., нормы и требования комплекса выполнили свыше 58 млн. чел.</w:t>
      </w:r>
    </w:p>
    <w:p w14:paraId="6D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С 1974 года проводились всесоюзные первенства по многоборьям ГТО (в 1975 году в массовых стартах участвовали 37 млн. чел., в финале - около 500 чел., призёрам, обладателям 4-й ступени присваивалось звание мастера спорта СССР).</w:t>
      </w:r>
    </w:p>
    <w:p w14:paraId="6E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За семь лет существования соревнований по многоборью ГТО:</w:t>
      </w:r>
    </w:p>
    <w:p w14:paraId="6F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свыше 350 тысяч юношей и девушек стали чемпионами районов, городов, областей, республик;</w:t>
      </w:r>
    </w:p>
    <w:p w14:paraId="70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- 77 человек носят почетный титул чемпиона СССР по многоборью ГТО;</w:t>
      </w:r>
    </w:p>
    <w:p w14:paraId="71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- 100 человек стали первыми в истории советского физкультурного движения мастерами спорта СССР по многоборью ГТО.</w:t>
      </w:r>
    </w:p>
    <w:p w14:paraId="72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</w:p>
    <w:p w14:paraId="73000000">
      <w:pPr>
        <w:spacing w:line="360" w:lineRule="auto"/>
        <w:ind w:firstLine="709" w:left="0" w:right="-143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 xml:space="preserve">3. </w:t>
      </w:r>
      <w:r>
        <w:rPr>
          <w:rFonts w:ascii="Times New Roman" w:hAnsi="Times New Roman"/>
          <w:b w:val="1"/>
          <w:color w:val="000000"/>
          <w:sz w:val="28"/>
        </w:rPr>
        <w:t>Возрождение комплекса ГТО в современной России</w:t>
      </w:r>
      <w:r>
        <w:rPr>
          <w:rFonts w:ascii="Times New Roman" w:hAnsi="Times New Roman"/>
          <w:b w:val="1"/>
          <w:color w:val="000000"/>
          <w:sz w:val="28"/>
        </w:rPr>
        <w:t xml:space="preserve"> (2007-2014гг.)</w:t>
      </w:r>
    </w:p>
    <w:p w14:paraId="74000000">
      <w:pPr>
        <w:pStyle w:val="Style_2"/>
        <w:spacing w:line="360" w:lineRule="auto"/>
        <w:ind w:firstLine="709" w:left="0"/>
        <w:rPr>
          <w:rFonts w:ascii="Times New Roman" w:hAnsi="Times New Roman"/>
          <w:b w:val="1"/>
          <w:color w:val="000000"/>
          <w:sz w:val="28"/>
        </w:rPr>
      </w:pPr>
    </w:p>
    <w:p w14:paraId="75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2007 год можно смело назвать годом спорта, когда Россия получает право на Олимпиаду 2014 года в Сочи, наши футболисты пробились на европейский чемпионат, баскетболисты стали лучшей командой Старого Света, теннисистки выиграли Кубок Федерации, гандболистки завоевали титул сильнейших в мире, и, наконец, президент Владимир Путин подписал новый закон о спорте. На волне воодушевления от спортивных побед, в соответствии с новыми веяниями дискуссии о возрождении комплекса ГТО вновь подняты спортивной общественностью. В 2013 году руководство страны и региональные руководители выступили с инициативой возрождения комплекса ГТО в России в современном формате. После завершения зимних Олимпийских игр в Сочи, организаторам удалось сэкономить 1,5 миллиарда рублей, заявил президент РФ Владимир Владимирович Путин. «Предлагаю использовать данные средства на развитие массового спорта, включая, например, реализацию в субъектах федерации комплекса ГТО, мероприятий движения «Спорт для всех» и поддержку доступных спортклубов, находящихся в шаговой доступности», – предложил глава государс</w:t>
      </w:r>
      <w:r>
        <w:rPr>
          <w:rFonts w:ascii="Times New Roman" w:hAnsi="Times New Roman"/>
          <w:color w:val="000000"/>
          <w:sz w:val="28"/>
        </w:rPr>
        <w:t>тва.</w:t>
      </w:r>
    </w:p>
    <w:p w14:paraId="76000000">
      <w:pPr>
        <w:pStyle w:val="Style_2"/>
        <w:spacing w:line="360" w:lineRule="auto"/>
        <w:ind w:firstLine="0" w:left="0"/>
        <w:jc w:val="both"/>
        <w:rPr>
          <w:rFonts w:ascii="Times New Roman" w:hAnsi="Times New Roman"/>
          <w:color w:val="000000"/>
          <w:sz w:val="28"/>
        </w:rPr>
      </w:pPr>
      <w:r>
        <w:drawing>
          <wp:inline>
            <wp:extent cx="3619179" cy="2086010"/>
            <wp:effectExtent b="0" l="0" r="0" t="0"/>
            <wp:docPr hidden="false" id="11" name="Picture 11"/>
            <a:graphic>
              <a:graphicData uri="http://schemas.openxmlformats.org/drawingml/2006/picture">
                <pic:pic>
                  <pic:nvPicPr>
                    <pic:cNvPr hidden="false" id="12" name="Picture 12"/>
                    <pic:cNvPicPr preferRelativeResize="true"/>
                  </pic:nvPicPr>
                  <pic:blipFill>
                    <a:blip r:embed="rId7"/>
                    <a:stretch/>
                  </pic:blipFill>
                  <pic:spPr>
                    <a:xfrm flipH="false" flipV="false" rot="0">
                      <a:ext cx="3619179" cy="208601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77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Всероссийский физкультурно-спортивный комплекс (далее – Комплекс) разработан во исполнение подпункта «а» пункта 1 перечня поручений Президента Российской Федерации от 4 апреля 2013 года № Пр-756, а также приказа </w:t>
      </w:r>
      <w:r>
        <w:rPr>
          <w:rFonts w:ascii="Times New Roman" w:hAnsi="Times New Roman"/>
          <w:color w:val="000000"/>
          <w:sz w:val="28"/>
        </w:rPr>
        <w:t>Минспорта</w:t>
      </w:r>
      <w:r>
        <w:rPr>
          <w:rFonts w:ascii="Times New Roman" w:hAnsi="Times New Roman"/>
          <w:color w:val="000000"/>
          <w:sz w:val="28"/>
        </w:rPr>
        <w:t xml:space="preserve"> России от 6 мая 2013 года №245 «О разработке проекта Всероссийского физкультурно-спортивного комплекса», которым утвержден состав рабочей группы. В нее вошли ведущие специалисты и ученые, участвовавшие в 2004– 2013 гг. в разработке и апробации внедрения комплекса в регионах Российской Федерации, представители вузов, научно-исследовательских центров, подведомственных </w:t>
      </w:r>
      <w:r>
        <w:rPr>
          <w:rFonts w:ascii="Times New Roman" w:hAnsi="Times New Roman"/>
          <w:color w:val="000000"/>
          <w:sz w:val="28"/>
        </w:rPr>
        <w:t>Минспорту</w:t>
      </w:r>
      <w:r>
        <w:rPr>
          <w:rFonts w:ascii="Times New Roman" w:hAnsi="Times New Roman"/>
          <w:color w:val="000000"/>
          <w:sz w:val="28"/>
        </w:rPr>
        <w:t xml:space="preserve"> России и </w:t>
      </w:r>
      <w:r>
        <w:rPr>
          <w:rFonts w:ascii="Times New Roman" w:hAnsi="Times New Roman"/>
          <w:color w:val="000000"/>
          <w:sz w:val="28"/>
        </w:rPr>
        <w:t>Минобрнауки</w:t>
      </w:r>
      <w:r>
        <w:rPr>
          <w:rFonts w:ascii="Times New Roman" w:hAnsi="Times New Roman"/>
          <w:color w:val="000000"/>
          <w:sz w:val="28"/>
        </w:rPr>
        <w:t xml:space="preserve"> России. Определены 89 предприятий и вузов страны, в которых был опробован «пилотный» проект массовых спортивных мероприятий по выполнению норм физкультурно-спортивного комплекса ДОСААФ России «Готов к труду и обороне». Проекты концепции и содержательной части Комплекса разработаны и впоследствии согласованы с органами исполнительной власти субъектов Российской Федерации в области физической культуры и спорта, а также рассмотрены в федеральных органах исполнительной власти и негосударственных организациях. Пакет документов одобрен на совместном заседании Межведомственной комиссии по развитию физической культуры, массового спорта и традиционных видов физической активности Совета при Президенте Российской Федерации по развитию физической культуры и спорта</w:t>
      </w:r>
      <w:r>
        <w:rPr>
          <w:rFonts w:ascii="Times New Roman" w:hAnsi="Times New Roman"/>
          <w:color w:val="000000"/>
          <w:sz w:val="28"/>
        </w:rPr>
        <w:t>,</w:t>
      </w:r>
      <w:r>
        <w:rPr>
          <w:rFonts w:ascii="Times New Roman" w:hAnsi="Times New Roman"/>
          <w:color w:val="000000"/>
          <w:sz w:val="28"/>
        </w:rPr>
        <w:t xml:space="preserve"> и коллегии Министерства спорта Российской Федерации 26.06.2013 г. и доработан с учетом полученных замечаний. В связи с направлением документов Комплекса в Правительство Российской Федерации, до 01.08.2013 г. принимаются обоснованные предложения к проектам Концепции и Положения от федеральных органов исполнительной власти РФ, высших органов исполнительной власти субъектов РФ, общероссийских федераций по видам спорта, общероссийских общественно-государственных организаций и физкультурно-спортивных обществ. Итогом кропотливой подготовки стало издание Указа Президента Российской Федерации от 24 марта 2014 года №172 «О Всероссийском физкультурно</w:t>
      </w:r>
      <w:r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спортивном комплексе «Готов к труду и обороне» (ГТО)», постановляющего о вводе в действие комплекса с 1 сентября 2014 года. Итак, сегодня комплекс ГТО возрождается, преобразившись в новой форме и новых условиях. Внедрение комплекса преследует следующие цели и задачи: </w:t>
      </w:r>
      <w:r>
        <w:rPr>
          <w:rFonts w:ascii="Symbol" w:hAnsi="Symbol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 повышение эффективности использования возможностей̆ физической̆ культуры и спорта в укреплении здоровья, гармоничном и всестороннем развитии личности, воспитании патриотизма и обеспечение преемственности в осуществлении физического воспитания населения; </w:t>
      </w:r>
      <w:r>
        <w:rPr>
          <w:rFonts w:ascii="Symbol" w:hAnsi="Symbol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 увеличение числа граждан, систематически зан</w:t>
      </w:r>
      <w:r>
        <w:rPr>
          <w:rFonts w:ascii="Times New Roman" w:hAnsi="Times New Roman"/>
          <w:color w:val="000000"/>
          <w:sz w:val="28"/>
        </w:rPr>
        <w:t>имающихся физической</w:t>
      </w:r>
      <w:r>
        <w:rPr>
          <w:rFonts w:ascii="Times New Roman" w:hAnsi="Times New Roman"/>
          <w:color w:val="000000"/>
          <w:sz w:val="28"/>
        </w:rPr>
        <w:t xml:space="preserve"> культурой </w:t>
      </w:r>
      <w:r>
        <w:rPr>
          <w:rFonts w:ascii="Times New Roman" w:hAnsi="Times New Roman"/>
          <w:color w:val="000000"/>
          <w:sz w:val="28"/>
        </w:rPr>
        <w:t xml:space="preserve">и спортом в Российской Федерации; </w:t>
      </w:r>
      <w:r>
        <w:rPr>
          <w:rFonts w:ascii="Symbol" w:hAnsi="Symbol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 повышение уровня физической подготовленности и продолжительности жизни граждан Российской Федерации; </w:t>
      </w:r>
      <w:r>
        <w:rPr>
          <w:rFonts w:ascii="Symbol" w:hAnsi="Symbol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 формирование у населения осознанных потребностей в систематических занятиях физической культурой и спортом, физическом самосовершенствовании и ведении здорового образа жизни; </w:t>
      </w:r>
      <w:r>
        <w:rPr>
          <w:rFonts w:ascii="Symbol" w:hAnsi="Symbol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 повышение общего уровня знаний населения о средствах, методах и формах организации самостоятельных занятий, в том числе с использованием современных информационных технологий; </w:t>
      </w:r>
      <w:r>
        <w:rPr>
          <w:rFonts w:ascii="Symbol" w:hAnsi="Symbol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 модернизация системы физического воспитания и системы развития массового, детско-юношеского, школьного и студенческого спорта в образовательных организациях, в том числе путем увеличения количества спортивных клубов. Всероссийский физкультурно-спортивный комплекс предусматривает подготовку к выполнению и непосредственное выполнение различными возрастными группами (от 6 до 70 лет и старше) населения Российской Федерации (далее – возрастные группы) установленных нормативов Всероссийского физкультурно-спортивного комплекса по 3 уровням трудности, соответствующим золотому, серебряному и бронзовому знакам отличия Всероссийского физкультурно</w:t>
      </w:r>
      <w:r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спортивного комплекса и основывается на следующих принципах: </w:t>
      </w:r>
      <w:r>
        <w:rPr>
          <w:rFonts w:ascii="Symbol" w:hAnsi="Symbol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 добровольность и доступность;</w:t>
      </w:r>
    </w:p>
    <w:p w14:paraId="78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Symbol" w:hAnsi="Symbol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 оздоровительная и личностно ориентированная направленность; </w:t>
      </w:r>
      <w:r>
        <w:rPr>
          <w:rFonts w:ascii="Symbol" w:hAnsi="Symbol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 обязательность медицинского контроля; </w:t>
      </w:r>
      <w:r>
        <w:rPr>
          <w:rFonts w:ascii="Symbol" w:hAnsi="Symbol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 учет региональных особенностей и </w:t>
      </w:r>
      <w:r>
        <w:rPr>
          <w:rFonts w:ascii="Times New Roman" w:hAnsi="Times New Roman"/>
          <w:color w:val="000000"/>
          <w:sz w:val="28"/>
        </w:rPr>
        <w:t xml:space="preserve">национальных традиций Всероссийский физкультурно-спортивный комплекс состоит из следующих основных разделов: </w:t>
      </w:r>
      <w:r>
        <w:rPr>
          <w:rFonts w:ascii="Symbol" w:hAnsi="Symbol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 виды испытаний (тесты), позволяющие определить уровень развития физических качеств и прикладных двигательных умений и навыков (подразделяются на обязательные испытания (тесты) и испытания по выбору) и нормативы, позволяющие оценить разносторонность (гармоничность) развития основных физических качеств и прикладных двигательных умений и навыков в соответствии с половыми и возрастными особенностями развития человека; </w:t>
      </w:r>
      <w:r>
        <w:rPr>
          <w:rFonts w:ascii="Symbol" w:hAnsi="Symbol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 требования к оценке уровня знаний и умений в о</w:t>
      </w:r>
      <w:r>
        <w:rPr>
          <w:rFonts w:ascii="Times New Roman" w:hAnsi="Times New Roman"/>
          <w:color w:val="000000"/>
          <w:sz w:val="28"/>
        </w:rPr>
        <w:t>бласти физической куль</w:t>
      </w:r>
      <w:r>
        <w:rPr>
          <w:rFonts w:ascii="Times New Roman" w:hAnsi="Times New Roman"/>
          <w:color w:val="000000"/>
          <w:sz w:val="28"/>
        </w:rPr>
        <w:t xml:space="preserve">туры и спорта; </w:t>
      </w:r>
      <w:r>
        <w:rPr>
          <w:rFonts w:ascii="Symbol" w:hAnsi="Symbol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 xml:space="preserve"> рекомендации к недельному двигательному режиму (предусматривают минимальный объем различных видов двигательной деятельности, необходимый для самостоятельной подготовки к выполнению видов испытаний (тестов) и нормативов, развития физических качеств, сохранения и укрепления здоровья)</w:t>
      </w:r>
      <w:r>
        <w:rPr>
          <w:rFonts w:ascii="Times New Roman" w:hAnsi="Times New Roman"/>
          <w:color w:val="000000"/>
          <w:sz w:val="28"/>
        </w:rPr>
        <w:t>.</w:t>
      </w:r>
    </w:p>
    <w:p w14:paraId="79000000">
      <w:pPr>
        <w:pStyle w:val="Style_2"/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</w:p>
    <w:p w14:paraId="7A000000">
      <w:pPr>
        <w:pStyle w:val="Style_2"/>
        <w:spacing w:line="360" w:lineRule="auto"/>
        <w:ind w:firstLine="709" w:left="0"/>
        <w:jc w:val="center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 xml:space="preserve">4. </w:t>
      </w:r>
      <w:r>
        <w:rPr>
          <w:rFonts w:ascii="Times New Roman" w:hAnsi="Times New Roman"/>
          <w:b w:val="1"/>
          <w:color w:val="000000"/>
          <w:sz w:val="28"/>
        </w:rPr>
        <w:t>Ступени ГТО</w:t>
      </w:r>
    </w:p>
    <w:p w14:paraId="7B000000">
      <w:pPr>
        <w:pStyle w:val="Style_2"/>
        <w:spacing w:line="360" w:lineRule="auto"/>
        <w:ind w:firstLine="709" w:left="0"/>
        <w:jc w:val="center"/>
        <w:rPr>
          <w:rFonts w:ascii="Times New Roman" w:hAnsi="Times New Roman"/>
          <w:color w:val="000000"/>
          <w:sz w:val="28"/>
        </w:rPr>
      </w:pPr>
    </w:p>
    <w:p w14:paraId="7C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В комплекс ГТО, утвержденный </w:t>
      </w:r>
      <w:r>
        <w:rPr>
          <w:rFonts w:ascii="Times New Roman" w:hAnsi="Times New Roman"/>
          <w:color w:val="000000"/>
          <w:sz w:val="28"/>
        </w:rPr>
        <w:t>Минспортом</w:t>
      </w:r>
      <w:r>
        <w:rPr>
          <w:rFonts w:ascii="Times New Roman" w:hAnsi="Times New Roman"/>
          <w:color w:val="000000"/>
          <w:sz w:val="28"/>
        </w:rPr>
        <w:t xml:space="preserve"> РФ в 2014 г., включены тесты и нормативы для 11 групп девочек и мальчиков, девушек и юношей, женщин и мужчин, охватывающих возраст от 6 лет до пожилого возраста без ограничений</w:t>
      </w:r>
      <w:r>
        <w:rPr>
          <w:rFonts w:ascii="Times New Roman" w:hAnsi="Times New Roman"/>
          <w:color w:val="000000"/>
          <w:sz w:val="28"/>
        </w:rPr>
        <w:t>.</w:t>
      </w:r>
    </w:p>
    <w:p w14:paraId="7D000000">
      <w:pPr>
        <w:spacing w:line="360" w:lineRule="auto"/>
        <w:ind/>
        <w:jc w:val="both"/>
        <w:rPr>
          <w:rFonts w:ascii="Times New Roman" w:hAnsi="Times New Roman"/>
          <w:color w:val="000000"/>
          <w:sz w:val="28"/>
        </w:rPr>
      </w:pPr>
      <w:bookmarkStart w:id="1" w:name="_GoBack"/>
      <w:r>
        <w:drawing>
          <wp:inline>
            <wp:extent cx="5593976" cy="2228655"/>
            <wp:effectExtent b="0" l="0" r="0" t="0"/>
            <wp:docPr hidden="false" id="13" name="Picture 13"/>
            <a:graphic>
              <a:graphicData uri="http://schemas.openxmlformats.org/drawingml/2006/picture">
                <pic:pic>
                  <pic:nvPicPr>
                    <pic:cNvPr hidden="false" id="14" name="Picture 14"/>
                    <pic:cNvPicPr preferRelativeResize="true"/>
                  </pic:nvPicPr>
                  <pic:blipFill>
                    <a:blip r:embed="rId8"/>
                    <a:stretch/>
                  </pic:blipFill>
                  <pic:spPr>
                    <a:xfrm flipH="false" flipV="false" rot="0">
                      <a:ext cx="5593976" cy="2228655"/>
                    </a:xfrm>
                    <a:prstGeom prst="rect"/>
                  </pic:spPr>
                </pic:pic>
              </a:graphicData>
            </a:graphic>
          </wp:inline>
        </w:drawing>
      </w:r>
      <w:bookmarkEnd w:id="1"/>
      <w:r>
        <w:rPr>
          <w:rFonts w:ascii="Times New Roman" w:hAnsi="Times New Roman"/>
          <w:color w:val="000000"/>
          <w:sz w:val="28"/>
        </w:rPr>
        <mc:AlternateContent>
          <mc:Choice Requires="wps">
  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  <wp:inline>
                <wp:extent cx="307340" cy="307340"/>
                <wp:docPr hidden="false" id="15" name="Picture 15"/>
                <a:graphic>
                  <a:graphicData uri="http://schemas.microsoft.com/office/word/2010/wordprocessingShape">
                    <wps:wsp>
                      <wps:cNvSpPr txBox="false"/>
                      <wps:spPr>
                        <a:xfrm flipH="false" flipV="false" rot="0"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anchor="t" bIns="45720" lIns="91440" rIns="91440" tIns="45720" vert="horz" wrap="square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14:paraId="7E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Нормативы разделены по степени сложности на 3 типа, соответствующие золотому, серебряному и бронзовому знаку. Деление нормативов на 3 типа по сложности и 11 ступеней по возрасту с подразделением на возрастные этапы и по половому признаку, возможность выбора тестов и их </w:t>
      </w:r>
      <w:r>
        <w:rPr>
          <w:rFonts w:ascii="Times New Roman" w:hAnsi="Times New Roman"/>
          <w:color w:val="000000"/>
          <w:sz w:val="28"/>
        </w:rPr>
        <w:t>многовариантность</w:t>
      </w:r>
      <w:r>
        <w:rPr>
          <w:rFonts w:ascii="Times New Roman" w:hAnsi="Times New Roman"/>
          <w:color w:val="000000"/>
          <w:sz w:val="28"/>
        </w:rPr>
        <w:t xml:space="preserve">, право субъектов РФ вносить в рекомендуемые на федеральном уровне тесты два других вида, соответствующих национальным и региональным традициям, дают возможность произвести индивидуальный подбор программы </w:t>
      </w:r>
      <w:r>
        <w:rPr>
          <w:rFonts w:ascii="Times New Roman" w:hAnsi="Times New Roman"/>
          <w:color w:val="000000"/>
          <w:sz w:val="28"/>
        </w:rPr>
        <w:t>ГТО</w:t>
      </w:r>
      <w:r>
        <w:rPr>
          <w:rFonts w:ascii="Times New Roman" w:hAnsi="Times New Roman"/>
          <w:color w:val="000000"/>
          <w:sz w:val="28"/>
        </w:rPr>
        <w:t xml:space="preserve"> для каждого тестируемого с учетом его физиологических особенностей.</w:t>
      </w:r>
    </w:p>
    <w:p w14:paraId="7F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I ступень</w:t>
      </w:r>
      <w:r>
        <w:rPr>
          <w:rFonts w:ascii="Times New Roman" w:hAnsi="Times New Roman"/>
          <w:color w:val="000000"/>
          <w:sz w:val="28"/>
        </w:rPr>
        <w:t> включает нормативы ГТО для мальчиков и девочек 6-8 лет трех степеней сложности (бронзовый, серебряный и золотой знак), т.е. она охватывает детей дошкольного возраста и школьников 1-2 классов и учитывает факторы их акселерации или ретардации. Из 9 тестов 6 обязательных и 3 по выбору, из них 3 многовариантных. Для получения бронзового, серебряного или золотого знака ГТО дети (мальчики и девочки) должны выполнить нормативы соответственно 4-х, 5-и или 6-и тестов, при этом выполненные нормативы должны содержать тесты на силу (подтягивание на перекладине, выжимание из положения лежа на полу, прыжок в длину), быстроту (бег на 30 м, челночный бег 3х10 м, бег на лыжах с фиксированием нормативного времени), гибкость (наклоны вперед) и выносливость (смешанное передвижение на 1 км, бег на лыжах на 2 км, кросс на 1 км). Учитывая, что упражнения в детском </w:t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instrText>HYPERLINK "https://topuch.com/instrukciya-dlya-uchashihsya-po-meram-bezopasnosti-pri-zanyati-v2/index.html" \o "Инструкция для учащихся по мерам безопасности при занятиях игровыми видами спорта"</w:instrText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t>возрасте должны быть разнообразными и игровыми</w:t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в I ступень включены тесты на попадание в цель теннисного мяча, плавание без учета времени. Недельный двигательный режим рекомендуется всего 10 часов, т.к. в этот возрастной период больше энергии, чем в другие периоды, затрачивается на процессы роста. Появляются различия между гимнастическим снарядом для мальчиков и девочек (высокая перекладина для мальчиков, низкая для девочек), т.к. начинает сказываться разница в их росте.</w:t>
      </w:r>
    </w:p>
    <w:p w14:paraId="80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II ступень</w:t>
      </w:r>
      <w:r>
        <w:rPr>
          <w:rFonts w:ascii="Times New Roman" w:hAnsi="Times New Roman"/>
          <w:color w:val="000000"/>
          <w:sz w:val="28"/>
        </w:rPr>
        <w:t> рекомендуется мальчикам и девочкам 9-10 лет (школьникам 3-4 класса). В этой ступени дети (мальчики и девочки) для сдачи нормативов бронзового, серебряного или золотого знака должны из 9 предлагаемых тестов выполнить соответственно 5, 6 или 7 тестов. Тесты для возрастной категории второго детства отличаются большей интенсивностью, увеличиваются дистанции бега, плавания, длина прыжков, сокращается нормативное время выполнения тестов, увеличивается количество обязательных для выполнения тестов и на 2 часа количество часов рекомендованного двигательного режима в неделю. В упражнения на силу добавляется прыжок в длину с разбега, усложняется игровое упражнение (теннисный мяч заменяется мячом весом 150 г, который необходимо метнуть на нормативное расстояние).</w:t>
      </w:r>
      <w:r>
        <w:rPr>
          <w:rFonts w:ascii="Times New Roman" w:hAnsi="Times New Roman"/>
          <w:color w:val="000000"/>
          <w:sz w:val="28"/>
        </w:rPr>
        <w:t xml:space="preserve"> Переходный </w:t>
      </w:r>
      <w:r>
        <w:rPr>
          <w:rFonts w:ascii="Times New Roman" w:hAnsi="Times New Roman"/>
          <w:color w:val="000000"/>
          <w:sz w:val="28"/>
        </w:rPr>
        <w:t>этап от детского к подростковому возрасту, который наступает у девочек в 11 лет, а у мальчиков в 12 лет фиксирует III ступень ГТО, рекомендованная для мальчиков и девочек 11-12 лет (школьников 5-6 классов). На этой ступени сохраняется игровое упражнение (метание мяча), к </w:t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instrText>HYPERLINK "https://topuch.com/referat-omirzakov-miras-tur-302-polevoj-turistskij-lagere-turi/index.html" \o "Реферат Омырзаков Мирас Тур-302 Полевой туристский лагерь Туристский лагерь как педагогическое явление"</w:instrText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t>которому добавляется туристский поход</w:t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color w:val="000000"/>
          <w:sz w:val="28"/>
        </w:rPr>
        <w:t xml:space="preserve"> и продолжается наращивание интенсивности тестов и продолжительности рекомендованного двигательного режима, т.к. еще меньше энергии затрачивается на процессы роста, но сохраняется на уровне II ступени количество тестов, которые необходимо выполнить для получения бронзового, серебряного и золотого знака. На этой ступени появляются тесты на стрельбу, т.е. уделяется внимание началу подготовки не только к труду, но и к обороне.</w:t>
      </w:r>
    </w:p>
    <w:p w14:paraId="81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IV и V ступени ГТО предназначены для юношей и девушек.</w:t>
      </w:r>
    </w:p>
    <w:p w14:paraId="82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IV ступень</w:t>
      </w:r>
      <w:r>
        <w:rPr>
          <w:rFonts w:ascii="Times New Roman" w:hAnsi="Times New Roman"/>
          <w:color w:val="000000"/>
          <w:sz w:val="28"/>
        </w:rPr>
        <w:t> охватывает возраст 13-15 лет, когда полностью оканчиваются 2 фазы полового созревания (</w:t>
      </w:r>
      <w:r>
        <w:rPr>
          <w:rFonts w:ascii="Times New Roman" w:hAnsi="Times New Roman"/>
          <w:color w:val="000000"/>
          <w:sz w:val="28"/>
        </w:rPr>
        <w:t>препубертация</w:t>
      </w:r>
      <w:r>
        <w:rPr>
          <w:rFonts w:ascii="Times New Roman" w:hAnsi="Times New Roman"/>
          <w:color w:val="000000"/>
          <w:sz w:val="28"/>
        </w:rPr>
        <w:t xml:space="preserve"> и пубертация), мальчики и девочки становятся юношами и девушками. Интенсивность упражнений в этой ступени учитывает два противоположных фактора: уменьшаются затраты энергии на процессы роста, но половое созревание возбуждает психическую неустойчивость. Поэтому интенсивность </w:t>
      </w:r>
      <w:r>
        <w:rPr>
          <w:rFonts w:ascii="Times New Roman" w:hAnsi="Times New Roman"/>
          <w:color w:val="000000"/>
          <w:sz w:val="28"/>
        </w:rPr>
        <w:t>упражнений, продолжительность рекомендованного двигательного режима, по </w:t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instrText>HYPERLINK "https://topuch.com/cele-suprujeskoj-terapii/index.html" \o "Цель супружеской терапии"</w:instrText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t>сравнению с детскими этапами</w:t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наращивается, но исключается давление на психику в период тренировки и сдачи тестов. Сохраняются игровые и увлекательные виды упражнений (метание мяча, туристский поход). Количество необходимых для получения бронзового, серебряного и золотого знаков тестов возрастает соответственно до 6-и, 7-и и 8-и штук из 11-и обязательных и по выбору.</w:t>
      </w:r>
    </w:p>
    <w:p w14:paraId="83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V ступень</w:t>
      </w:r>
      <w:r>
        <w:rPr>
          <w:rFonts w:ascii="Times New Roman" w:hAnsi="Times New Roman"/>
          <w:color w:val="000000"/>
          <w:sz w:val="28"/>
        </w:rPr>
        <w:t> ГТО разработана для возраста юношей и девушек 16-17 лет (старший школьный возраст), характеризующийся окончанием третьего этапа полового созревания (</w:t>
      </w:r>
      <w:r>
        <w:rPr>
          <w:rFonts w:ascii="Times New Roman" w:hAnsi="Times New Roman"/>
          <w:color w:val="000000"/>
          <w:sz w:val="28"/>
        </w:rPr>
        <w:t>постпубертация</w:t>
      </w:r>
      <w:r>
        <w:rPr>
          <w:rFonts w:ascii="Times New Roman" w:hAnsi="Times New Roman"/>
          <w:color w:val="000000"/>
          <w:sz w:val="28"/>
        </w:rPr>
        <w:t>), уравновешиванием психики, совершенствованием ЦНС, дальнейшим сокращением затрат энергии на процессы роста. Особенности V ступени позволяют повысить интенсивность всех видов упражнений (на силу, скорость, гибкость и выносливость), заменить игровой вид упражнений (метание мяча) силовым (метание снаряда), но окончание полового созревания сопровождается явлением юношеской гипертонии, что повлекло сокращение продолжительности двигательного режима и сохранение на уровне IV ступени требуемого для сдачи нормативов количества тестов.</w:t>
      </w:r>
    </w:p>
    <w:p w14:paraId="84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Остальные 6 ступеней предназначаются для различных возрастных групп мужчин и женщин.</w:t>
      </w:r>
    </w:p>
    <w:p w14:paraId="85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VI ступень</w:t>
      </w:r>
      <w:r>
        <w:rPr>
          <w:rFonts w:ascii="Times New Roman" w:hAnsi="Times New Roman"/>
          <w:color w:val="000000"/>
          <w:sz w:val="28"/>
        </w:rPr>
        <w:t xml:space="preserve"> ГТО рекомендована мужчинам и женщинам молодежного возраста от 18 до 29 лет. На первом возрастном этапе этой ступени (18-24 года) оканчиваются процессы роста, затраты энергии на эти процессы достигают минимума. Но, если в предыдущих ступенях процесс ассимиляции (роста) организма значительно опережал процесс диссимиляции (разрушения), то на втором возрастном этапе ступени (25-29 лет) эти противоположные процессы выравниваются в связи с прекращением процессов роста. На этой ступени в наибольшей степени начинают проявляться физиологические особенности мужчин и женщин, поэтому тесты для каждого пола приводятся в отдельных </w:t>
      </w:r>
      <w:r>
        <w:rPr>
          <w:rFonts w:ascii="Times New Roman" w:hAnsi="Times New Roman"/>
          <w:color w:val="000000"/>
          <w:sz w:val="28"/>
        </w:rPr>
        <w:t>таблицах. На первом возрастном этапе продолжается наращивание интенсивности упражнений. Она достигает максимума, т.к. затраты энергии на процессы роста стали минимальными. Но на втором возрастном этапе интенсивность упражнений начинает сокращаться в связи с изменением соотношения противоположных процессов в пользу диссимиляции. Эта ступень охватывает тестируемых активного трудоспособного возраста, двигательная активность которых проявляется в трудовой деятельности, поэтому недельная продолжительность двигательного режима на первом этапе сокращается до 11 часов, а на втором до 8 часов.</w:t>
      </w:r>
    </w:p>
    <w:p w14:paraId="86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VII ступень</w:t>
      </w:r>
      <w:r>
        <w:rPr>
          <w:rFonts w:ascii="Times New Roman" w:hAnsi="Times New Roman"/>
          <w:color w:val="000000"/>
          <w:sz w:val="28"/>
        </w:rPr>
        <w:t> ГТО предназначена для мужчин и женщин зрелого возраста 30-39 лет. Аналогично VI ступени она рекомендует тесты для мужчин и женщин в отдельных таблицах, разбитых на 2 возрастных этапа (30-34 года и 35-39 лет). На первом возрастном этапе процесс диссимиляции начинает опережать процесс ассимиляции, на втором возрастном этапе преимущество процесса диссимиляции ощущается еще более. Эти особенности определяют подход к выработке нормативов VII ступени, интенсивность которых </w:t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fldChar w:fldCharType="begin"/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instrText>HYPERLINK "https://topuch.com/kriterii-periodizacii/index.html" \o "Критерии периодизации"</w:instrText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fldChar w:fldCharType="separate"/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t>сокращается на каждом возрастном этапе</w:t>
      </w:r>
      <w:r>
        <w:rPr>
          <w:rStyle w:val="Style_3_ch"/>
          <w:rFonts w:ascii="Times New Roman" w:hAnsi="Times New Roman"/>
          <w:color w:val="000000"/>
          <w:sz w:val="28"/>
          <w:u w:val="none"/>
        </w:rPr>
        <w:fldChar w:fldCharType="end"/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уменьшается количество необходимых для получения каждого знака ГТО тестов, которое на втором возрастном этапе снижается до уровня IV ступени, а недельная продолжительность двигательного режима сохраняется на уровне VI ступени.</w:t>
      </w:r>
    </w:p>
    <w:p w14:paraId="87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Остальные 4 ступени</w:t>
      </w:r>
      <w:r>
        <w:rPr>
          <w:rFonts w:ascii="Times New Roman" w:hAnsi="Times New Roman"/>
          <w:color w:val="000000"/>
          <w:sz w:val="28"/>
        </w:rPr>
        <w:t xml:space="preserve"> рекомендуются для мужчин и женщин в возрасте 40 и более лет. Они различаются только по возрастным периодам 40-49 лет (возрастные этапы 40-44 года и 45-49 лет), 50-59 лет (возрастные этапы 50-54 года и 55-59 лет), 60-69 лет и 70 и более лет. Общая особенность этих ступеней – нарастание с каждым возрастным этапом преимущества процессов диссимиляции над процессами ассимиляции, которые стремятся к нулевому значению. Эта особенность потребовала постепенного снижения интенсивности нормативов ГТО, рекомендованной продолжительности двигательного режима (до 6 часов в неделю в XI ступени) и количества </w:t>
      </w:r>
      <w:r>
        <w:rPr>
          <w:rFonts w:ascii="Times New Roman" w:hAnsi="Times New Roman"/>
          <w:color w:val="000000"/>
          <w:sz w:val="28"/>
        </w:rPr>
        <w:t>требуемых для получения золотого знака испытаний (до 3 в XI ступени) при переходе к каждой последующей возрастной группе. Нормативы в этих ступенях в настоящее время разработаны только для золотого знака ГТО.</w:t>
      </w:r>
    </w:p>
    <w:p w14:paraId="88000000">
      <w:pPr>
        <w:spacing w:line="360" w:lineRule="auto"/>
        <w:ind/>
        <w:jc w:val="both"/>
        <w:rPr>
          <w:rFonts w:ascii="Times New Roman" w:hAnsi="Times New Roman"/>
          <w:color w:val="000000"/>
          <w:sz w:val="28"/>
        </w:rPr>
      </w:pPr>
      <w:r>
        <w:drawing>
          <wp:inline>
            <wp:extent cx="5940425" cy="4030345"/>
            <wp:effectExtent b="0" l="0" r="0" t="0"/>
            <wp:docPr hidden="false" id="16" name="Picture 16"/>
            <a:graphic>
              <a:graphicData uri="http://schemas.openxmlformats.org/drawingml/2006/picture">
                <pic:pic>
                  <pic:nvPicPr>
                    <pic:cNvPr hidden="false" id="17" name="Picture 17"/>
                    <pic:cNvPicPr preferRelativeResize="true"/>
                  </pic:nvPicPr>
                  <pic:blipFill>
                    <a:blip r:embed="rId9"/>
                    <a:stretch/>
                  </pic:blipFill>
                  <pic:spPr>
                    <a:xfrm flipH="false" flipV="false" rot="0">
                      <a:ext cx="5940425" cy="4030345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89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</w:p>
    <w:p w14:paraId="8A000000">
      <w:pPr>
        <w:spacing w:line="360" w:lineRule="auto"/>
        <w:ind w:firstLine="709" w:left="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 xml:space="preserve">5. </w:t>
      </w:r>
      <w:r>
        <w:rPr>
          <w:rFonts w:ascii="Times New Roman" w:hAnsi="Times New Roman"/>
          <w:b w:val="1"/>
          <w:color w:val="000000"/>
          <w:sz w:val="28"/>
        </w:rPr>
        <w:t>Нормативы для мужчин</w:t>
      </w:r>
    </w:p>
    <w:p w14:paraId="8B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</w:p>
    <w:p w14:paraId="8C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Мужчина остается защитником своих родных, близких и страны в целом вне зависимости от возраста. Для некоторых представителей сильного пола выполнение комплекса ГТО является настоящим делом чести, даже если годы берут свое и сил, для того, чтобы тягаться с более молодыми мужчинами, остается не так много. «Готов к труду и обороне» идет на встречу каждому и предоставляет возможность проверить себя гражданам всех возрастных категорий.</w:t>
      </w:r>
    </w:p>
    <w:p w14:paraId="8D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Изначально все нормативы Всероссийского физкультурно-спортивного комплекса «Готов к труду и обороне» были разбиты на 11 ступеней, в </w:t>
      </w:r>
      <w:r>
        <w:rPr>
          <w:rFonts w:ascii="Times New Roman" w:hAnsi="Times New Roman"/>
          <w:color w:val="000000"/>
          <w:sz w:val="28"/>
        </w:rPr>
        <w:t>соответствии с которыми для получения знаков отличия ГТО необходимо выполнить определенные нормативы. Для мужчин в комплексе ГТО отведены шесть ступеней, на каждой из которых идет численное и количественное снижение требуемых для сдачи показателей.</w:t>
      </w:r>
    </w:p>
    <w:p w14:paraId="8E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С VI ступени ГТО начинается разделение испытаний: здесь для мужских и женских групп в возрасте от 18 до 29 лет, помимо отличий в интенсивности упражнений и уровне нормативов ГТО, прослеживаются различия в перечне предлагаемых испытаний. Такая тенденция прослеживается вплоть до VIII ступени: на ней список предлагаемых к выполнению упражнений снова становится одинаковым как для мужчин, так и для женщин (однако нормативы по-прежнему делятся на две группы сложности).</w:t>
      </w:r>
    </w:p>
    <w:p w14:paraId="8F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Нормы ГТО для мужчин имеют повышенную интенсивность. Они включают в себя как стандартные испытания (бег на различные дистанции, рывок 16-килограммовой гири, наклоны, прыжки), так и такие, по-настоящему мужские, упражнения: стрельбу из разных видов оружия, туристический поход и элементы безоружной самозащиты.</w:t>
      </w:r>
    </w:p>
    <w:p w14:paraId="90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Естественно, для каждой ступени величина предлагаемых к выполнению норм в некоторой мере разнится: например, нормативы ГТО для мужчин 18–24 лет в подтягиваниях из виса на высокой перекладине превосходным считается результат из 13 раз, в то время, как для мужчин 50–54 лет золотой знак отличия комплекса ГТО можно получить при выполнении 7 подтягиваний. Это обусловлено индивидуальными характеристиками возрастных групп, их физическим особенностям и состоянием здоровья. Помимо этого, изменения наблюдаются и в количестве предлагаемых испытаний: так, в XI ступени общее число заданий сокращается до 6, в то время как для получения «золота» необходимо выполнение 3 нормативов ГТО для мужчин. Стоит отметить, что награду здесь получают действительно лучшие из лучших, и она по своей значимости сравнима с настоящей спортивной медалью.</w:t>
      </w:r>
    </w:p>
    <w:p w14:paraId="91000000">
      <w:pPr>
        <w:pStyle w:val="Style_2"/>
        <w:numPr>
          <w:ilvl w:val="0"/>
          <w:numId w:val="2"/>
        </w:numPr>
        <w:spacing w:line="360" w:lineRule="auto"/>
        <w:ind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Нормативы для женщин</w:t>
      </w:r>
    </w:p>
    <w:p w14:paraId="92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</w:p>
    <w:p w14:paraId="93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Женщины веками боролись за равноправие и пытались добиться для себя всех выгод, которые ранее были доступны исключительно мужчинам. Поэтому, когда данная цель была достигнута, и их уравняли в правах с мужским населением, они взялись активно пользоваться всеми перспективами, которые для них открылись. Помимо возможности носить брюки, работать и посещать развлекательные заведения, им было позволено заниматься спортом на профессиональном уровне, сдавать ГТО и, наравне с мужчинами, получать за это награды.</w:t>
      </w:r>
    </w:p>
    <w:p w14:paraId="94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 настоящее время именно представительницы слабого пола в большинстве своем диктуют моду, и именно они ей так же активно следуют. Сейчас наблюдается особенный рост популяризации активного образа жизни среди женщин. С обложек журналов теперь смотрят не болезненно тощие модели, а спортсменки с подтянутыми фигурами. В этой связи, возрождение комплекса ГТО приходится как нельзя кстати.</w:t>
      </w:r>
    </w:p>
    <w:p w14:paraId="95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Нормы ГТО для женщин подразделяются на ступени, определяющие величину показателей для каждого возраста. Интенсивность испытаний для слабого пола снижена, однако в них также содержатся дисциплины, проверяющие на скорость, ловкость, меткость и выносливость. Помимо этого, существует разделение ступеней на подгруппы, нормативы внутри которых так же разнятся.</w:t>
      </w:r>
    </w:p>
    <w:p w14:paraId="96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 случае достижения выдающихся результатов участницы могут получить золотые, серебряные или бронзовые знаки отличия комплекса ГТО.</w:t>
      </w:r>
    </w:p>
    <w:p w14:paraId="97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Все нормы ГТО для женщин разработаны с учетом результатов проводимых исследований, рассказывающих об особенностях женского организма в тот или иной возрастной период. Вместе с тем, Всероссийский физкультурно-оздоровительном комплекс «Готов к труду и обороне» не предусматривает легкости выполнения: чтобы выполнить нормы ГТО, </w:t>
      </w:r>
      <w:r>
        <w:rPr>
          <w:rFonts w:ascii="Times New Roman" w:hAnsi="Times New Roman"/>
          <w:color w:val="000000"/>
          <w:sz w:val="28"/>
        </w:rPr>
        <w:t>женщины, имеющие сидячий образ жизни, должны постараться, для них это может стать весьма непростой, но интересной задачей.</w:t>
      </w:r>
    </w:p>
    <w:p w14:paraId="98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</w:t>
      </w:r>
    </w:p>
    <w:p w14:paraId="99000000">
      <w:pPr>
        <w:pStyle w:val="Style_2"/>
        <w:numPr>
          <w:ilvl w:val="0"/>
          <w:numId w:val="2"/>
        </w:numPr>
        <w:spacing w:line="360" w:lineRule="auto"/>
        <w:ind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Рекорды ГТО</w:t>
      </w:r>
    </w:p>
    <w:p w14:paraId="9A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</w:p>
    <w:p w14:paraId="9B000000">
      <w:pPr>
        <w:spacing w:line="360" w:lineRule="auto"/>
        <w:ind w:firstLine="567" w:left="0"/>
        <w:jc w:val="both"/>
        <w:rPr>
          <w:rFonts w:ascii="Times New Roman" w:hAnsi="Times New Roman"/>
          <w:color w:val="000000"/>
          <w:sz w:val="28"/>
        </w:rPr>
      </w:pPr>
      <w:r>
        <w:drawing>
          <wp:anchor allowOverlap="true" behindDoc="false" distB="0" distL="114300" distR="114300" distT="0" layoutInCell="true" locked="false" relativeHeight="251658240" simplePos="false">
            <wp:simplePos x="0" y="0"/>
            <wp:positionH relativeFrom="column">
              <wp:posOffset>3314</wp:posOffset>
            </wp:positionH>
            <wp:positionV relativeFrom="paragraph">
              <wp:posOffset>2732</wp:posOffset>
            </wp:positionV>
            <wp:extent cx="3469408" cy="2610864"/>
            <wp:effectExtent b="0" l="0" r="0" t="0"/>
            <wp:wrapSquare distB="0" distL="114300" distR="114300" distT="0" wrapText="bothSides"/>
            <wp:docPr hidden="false" id="18" name="Picture 18"/>
            <a:graphic>
              <a:graphicData uri="http://schemas.openxmlformats.org/drawingml/2006/picture">
                <pic:pic>
                  <pic:nvPicPr>
                    <pic:cNvPr hidden="false" id="19" name="Picture 19"/>
                    <pic:cNvPicPr preferRelativeResize="true"/>
                  </pic:nvPicPr>
                  <pic:blipFill>
                    <a:blip r:embed="rId10"/>
                    <a:stretch/>
                  </pic:blipFill>
                  <pic:spPr>
                    <a:xfrm flipH="false" flipV="false" rot="0">
                      <a:ext cx="3469408" cy="2610864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000000"/>
          <w:sz w:val="28"/>
        </w:rPr>
        <w:t>Абсолютный рекорд тестирования (среди всех возрастных ступеней) поставила россиянка Екатерина Кравченко, выполнившая сгибание и разгибание рук в упоре лежа на полу – 250 раз, среди мужчин победителем стал Денис Козлов - 103 раза. Свое восхищение высказала пятикратная олимпийская чемпионка по синхронному плаванию, министр спорта Калининградской области Наталья Ищенко. – "Мне выпала честь награждать победителей в отдельных дисциплинах. Меня просто поразила девочка, отжавшаяся 250 раз, ведь она профессионально не занимается никаким видом спорта. А значит, ГТО помогает найти спортивные таланты даже среди тех, кто посвятил себя другим сферам деятельности".</w:t>
      </w:r>
    </w:p>
    <w:p w14:paraId="9C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В прыжках в длину с места не было равных представителю Нигерии </w:t>
      </w:r>
      <w:r>
        <w:rPr>
          <w:rFonts w:ascii="Times New Roman" w:hAnsi="Times New Roman"/>
          <w:color w:val="000000"/>
          <w:sz w:val="28"/>
        </w:rPr>
        <w:t>Джеральду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</w:rPr>
        <w:t>Шидубену</w:t>
      </w:r>
      <w:r>
        <w:rPr>
          <w:rFonts w:ascii="Times New Roman" w:hAnsi="Times New Roman"/>
          <w:color w:val="000000"/>
          <w:sz w:val="28"/>
        </w:rPr>
        <w:t xml:space="preserve"> (3 метра 20 см), россиянка Юлия Кузина прыгнула на 2 метра 70 см.</w:t>
      </w:r>
    </w:p>
    <w:p w14:paraId="9D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В подтягивании из виса на низкой перекладине победительницей стала Марина Третьякова - 180 раз, Анвар </w:t>
      </w:r>
      <w:r>
        <w:rPr>
          <w:rFonts w:ascii="Times New Roman" w:hAnsi="Times New Roman"/>
          <w:color w:val="000000"/>
          <w:sz w:val="28"/>
        </w:rPr>
        <w:t>Самигуллин</w:t>
      </w:r>
      <w:r>
        <w:rPr>
          <w:rFonts w:ascii="Times New Roman" w:hAnsi="Times New Roman"/>
          <w:color w:val="000000"/>
          <w:sz w:val="28"/>
        </w:rPr>
        <w:t xml:space="preserve"> подтянулся на высокой перекладине 30 раз.</w:t>
      </w:r>
    </w:p>
    <w:p w14:paraId="9E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</w:p>
    <w:p w14:paraId="9F000000">
      <w:pPr>
        <w:pStyle w:val="Style_2"/>
        <w:numPr>
          <w:ilvl w:val="0"/>
          <w:numId w:val="2"/>
        </w:numPr>
        <w:spacing w:line="360" w:lineRule="auto"/>
        <w:ind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Анализ ГТО в разных странах</w:t>
      </w:r>
    </w:p>
    <w:p w14:paraId="A0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</w:p>
    <w:p w14:paraId="A1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Немецкий спортивный значок был создан ровно 100 лет назад – в 1913 году. Таким образом, данная награда является одной из старейших спортивных наград в Германии, которая всё еще является действующей. Получить значок в Германии очень почетно. Во вручении значков могут участвовать бургомистры города или иные высокопоставленные лица. Иностранцы обычно получают значок из рук консулов.</w:t>
      </w:r>
    </w:p>
    <w:p w14:paraId="A2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Спортивный значок ÖSTA – </w:t>
      </w:r>
      <w:r>
        <w:rPr>
          <w:rFonts w:ascii="Times New Roman" w:hAnsi="Times New Roman"/>
          <w:color w:val="000000"/>
          <w:sz w:val="28"/>
        </w:rPr>
        <w:t>das</w:t>
      </w:r>
      <w:r>
        <w:rPr>
          <w:rFonts w:ascii="Times New Roman" w:hAnsi="Times New Roman"/>
          <w:color w:val="000000"/>
          <w:sz w:val="28"/>
        </w:rPr>
        <w:t> Abzeichen2 создан в 1920 году. Существует 9 его разновидностей. Для взрослых существует базовый и усиленный уровень, по каждому уровню – бронзовые (18-29 лет), серебряные (30-39 лет) и золотые значки (40 лет и выше). Итого 6 видов. Австрийские нормативы, в целом, значительно легче, чем германские и советские ГТО. По молодёжи (13-18 лет) существуют бронзовые, серебряные и золотые значки. При сдаче норм в течение нескольких лет выдаются значки, на которых выгравированы цифры 5, 10, 15, 20 и т.д.</w:t>
      </w:r>
    </w:p>
    <w:p w14:paraId="A3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 Швеции существует так называемый «Школьный спортивный значок». Он позволяет школьникам получить нечто большее, чем оценку на уроке физкультуры. Также значок показывает, что школьник имеет отношение к школьной спортивной ассоциации. Школьный спортивный значок обычно выдаётся в 3-6 классах за выполнение необходимых нормативов. Нормативы разделяются на 4 группы – скорость, сила, ловкость, выносливость. В 3 классе выдаётся железный значок. Для выполнения нормативов достаточно пройти четыре испытания. При сдаче этих нормативов школьник получает бронзовый, серебряный или золотой значок.</w:t>
      </w:r>
    </w:p>
    <w:p w14:paraId="A4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</w:t>
      </w:r>
    </w:p>
    <w:p w14:paraId="A5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</w:p>
    <w:p w14:paraId="A6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</w:p>
    <w:p w14:paraId="A7000000">
      <w:pPr>
        <w:spacing w:line="360" w:lineRule="auto"/>
        <w:ind w:firstLine="709" w:left="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Заключение</w:t>
      </w:r>
    </w:p>
    <w:p w14:paraId="A8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</w:p>
    <w:p w14:paraId="A9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Введение комплекса нормативов ГТО дает нашей стране огромное преимущество в экономическом и культурном плане, а гражданам - возможность двигаться и развиваться в физическом и культурном плане. Это не только полезная физическая форма активности, но также и огромный толчок успешному развитию нашей страны.</w:t>
      </w:r>
    </w:p>
    <w:p w14:paraId="AA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</w:p>
    <w:p w14:paraId="AB000000">
      <w:pPr>
        <w:spacing w:line="360" w:lineRule="auto"/>
        <w:ind w:firstLine="709" w:left="0"/>
        <w:jc w:val="center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Список информационных источников</w:t>
      </w:r>
    </w:p>
    <w:p w14:paraId="AC000000">
      <w:pPr>
        <w:spacing w:line="360" w:lineRule="auto"/>
        <w:ind w:firstLine="709" w:left="0"/>
        <w:jc w:val="center"/>
        <w:rPr>
          <w:rFonts w:ascii="Times New Roman" w:hAnsi="Times New Roman"/>
          <w:b w:val="1"/>
          <w:color w:val="000000"/>
          <w:sz w:val="28"/>
        </w:rPr>
      </w:pPr>
    </w:p>
    <w:p w14:paraId="AD000000">
      <w:pPr>
        <w:spacing w:after="160" w:line="264" w:lineRule="auto"/>
        <w:ind/>
        <w:rPr>
          <w:rFonts w:ascii="Times New Roman" w:hAnsi="Times New Roman"/>
        </w:rPr>
      </w:pPr>
      <w:r>
        <w:rPr>
          <w:rFonts w:ascii="Times New Roman" w:hAnsi="Times New Roman"/>
          <w:color w:themeColor="hyperlink" w:val="0563C1"/>
          <w:u w:val="single"/>
        </w:rPr>
        <w:fldChar w:fldCharType="begin"/>
      </w:r>
      <w:r>
        <w:rPr>
          <w:rFonts w:ascii="Times New Roman" w:hAnsi="Times New Roman"/>
          <w:color w:themeColor="hyperlink" w:val="0563C1"/>
          <w:u w:val="single"/>
        </w:rPr>
        <w:instrText>HYPERLINK "https://for-teacher.ru/edu/fizkultura/doc-gmgkhv1.html"</w:instrText>
      </w:r>
      <w:r>
        <w:rPr>
          <w:rFonts w:ascii="Times New Roman" w:hAnsi="Times New Roman"/>
          <w:color w:themeColor="hyperlink" w:val="0563C1"/>
          <w:u w:val="single"/>
        </w:rPr>
        <w:fldChar w:fldCharType="separate"/>
      </w:r>
      <w:r>
        <w:rPr>
          <w:rFonts w:ascii="Times New Roman" w:hAnsi="Times New Roman"/>
          <w:color w:themeColor="hyperlink" w:val="0563C1"/>
          <w:u w:val="single"/>
        </w:rPr>
        <w:t>https://for-teacher.ru/edu/fizkultura/doc-gmgkhv1.html</w:t>
      </w:r>
      <w:r>
        <w:rPr>
          <w:rFonts w:ascii="Times New Roman" w:hAnsi="Times New Roman"/>
          <w:color w:themeColor="hyperlink" w:val="0563C1"/>
          <w:u w:val="single"/>
        </w:rPr>
        <w:fldChar w:fldCharType="end"/>
      </w:r>
    </w:p>
    <w:p w14:paraId="AE000000">
      <w:pPr>
        <w:spacing w:after="160" w:line="264" w:lineRule="auto"/>
        <w:ind/>
        <w:rPr>
          <w:rFonts w:ascii="Times New Roman" w:hAnsi="Times New Roman"/>
        </w:rPr>
      </w:pPr>
      <w:r>
        <w:rPr>
          <w:rFonts w:ascii="Times New Roman" w:hAnsi="Times New Roman"/>
          <w:color w:themeColor="hyperlink" w:val="0563C1"/>
          <w:u w:val="single"/>
        </w:rPr>
        <w:fldChar w:fldCharType="begin"/>
      </w:r>
      <w:r>
        <w:rPr>
          <w:rFonts w:ascii="Times New Roman" w:hAnsi="Times New Roman"/>
          <w:color w:themeColor="hyperlink" w:val="0563C1"/>
          <w:u w:val="single"/>
        </w:rPr>
        <w:instrText>HYPERLINK "https://topuch.com/referat-po-discipline-fizicheskaya-kuletura-na-temu-normi-gto/index.html"</w:instrText>
      </w:r>
      <w:r>
        <w:rPr>
          <w:rFonts w:ascii="Times New Roman" w:hAnsi="Times New Roman"/>
          <w:color w:themeColor="hyperlink" w:val="0563C1"/>
          <w:u w:val="single"/>
        </w:rPr>
        <w:fldChar w:fldCharType="separate"/>
      </w:r>
      <w:r>
        <w:rPr>
          <w:rFonts w:ascii="Times New Roman" w:hAnsi="Times New Roman"/>
          <w:color w:themeColor="hyperlink" w:val="0563C1"/>
          <w:u w:val="single"/>
        </w:rPr>
        <w:t>https://topuch.com/referat-po-discipline-fizicheskaya-kuletura-na-temu-normi-gto/index.html</w:t>
      </w:r>
      <w:r>
        <w:rPr>
          <w:rFonts w:ascii="Times New Roman" w:hAnsi="Times New Roman"/>
          <w:color w:themeColor="hyperlink" w:val="0563C1"/>
          <w:u w:val="single"/>
        </w:rPr>
        <w:fldChar w:fldCharType="end"/>
      </w:r>
    </w:p>
    <w:p w14:paraId="AF000000">
      <w:pPr>
        <w:spacing w:after="160" w:line="264" w:lineRule="auto"/>
        <w:ind/>
        <w:rPr>
          <w:rFonts w:ascii="Times New Roman" w:hAnsi="Times New Roman"/>
        </w:rPr>
      </w:pPr>
      <w:r>
        <w:rPr>
          <w:rFonts w:ascii="Times New Roman" w:hAnsi="Times New Roman"/>
          <w:color w:themeColor="hyperlink" w:val="0563C1"/>
          <w:u w:val="single"/>
        </w:rPr>
        <w:fldChar w:fldCharType="begin"/>
      </w:r>
      <w:r>
        <w:rPr>
          <w:rFonts w:ascii="Times New Roman" w:hAnsi="Times New Roman"/>
          <w:color w:themeColor="hyperlink" w:val="0563C1"/>
          <w:u w:val="single"/>
        </w:rPr>
        <w:instrText>HYPERLINK "https://tvorcheskie-proekty.ru/node/5031"</w:instrText>
      </w:r>
      <w:r>
        <w:rPr>
          <w:rFonts w:ascii="Times New Roman" w:hAnsi="Times New Roman"/>
          <w:color w:themeColor="hyperlink" w:val="0563C1"/>
          <w:u w:val="single"/>
        </w:rPr>
        <w:fldChar w:fldCharType="separate"/>
      </w:r>
      <w:r>
        <w:rPr>
          <w:rFonts w:ascii="Times New Roman" w:hAnsi="Times New Roman"/>
          <w:color w:themeColor="hyperlink" w:val="0563C1"/>
          <w:u w:val="single"/>
        </w:rPr>
        <w:t>https://tvorcheskie-proekty.ru/node/5031</w:t>
      </w:r>
      <w:r>
        <w:rPr>
          <w:rFonts w:ascii="Times New Roman" w:hAnsi="Times New Roman"/>
          <w:color w:themeColor="hyperlink" w:val="0563C1"/>
          <w:u w:val="single"/>
        </w:rPr>
        <w:fldChar w:fldCharType="end"/>
      </w:r>
    </w:p>
    <w:p w14:paraId="B0000000">
      <w:pPr>
        <w:spacing w:after="160" w:line="264" w:lineRule="auto"/>
        <w:ind/>
        <w:rPr>
          <w:rFonts w:ascii="Times New Roman" w:hAnsi="Times New Roman"/>
        </w:rPr>
      </w:pPr>
      <w:r>
        <w:rPr>
          <w:rFonts w:ascii="Times New Roman" w:hAnsi="Times New Roman"/>
          <w:color w:themeColor="hyperlink" w:val="0563C1"/>
          <w:u w:val="single"/>
        </w:rPr>
        <w:fldChar w:fldCharType="begin"/>
      </w:r>
      <w:r>
        <w:rPr>
          <w:rFonts w:ascii="Times New Roman" w:hAnsi="Times New Roman"/>
          <w:color w:themeColor="hyperlink" w:val="0563C1"/>
          <w:u w:val="single"/>
        </w:rPr>
        <w:instrText>HYPERLINK "https://elib.sfu-kras.ru/bitstream/handle/2311/32590/19.pdf?sequence=1&amp;ysclid=ltzhanofdl337974572"</w:instrText>
      </w:r>
      <w:r>
        <w:rPr>
          <w:rFonts w:ascii="Times New Roman" w:hAnsi="Times New Roman"/>
          <w:color w:themeColor="hyperlink" w:val="0563C1"/>
          <w:u w:val="single"/>
        </w:rPr>
        <w:fldChar w:fldCharType="separate"/>
      </w:r>
      <w:r>
        <w:rPr>
          <w:rFonts w:ascii="Times New Roman" w:hAnsi="Times New Roman"/>
          <w:color w:themeColor="hyperlink" w:val="0563C1"/>
          <w:u w:val="single"/>
        </w:rPr>
        <w:t>https://elib.sfu-kras.ru/bitstream/handle/2311/32590/19.pdf?sequence=1&amp;ysclid=ltzhanofdl337974572</w:t>
      </w:r>
      <w:r>
        <w:rPr>
          <w:rFonts w:ascii="Times New Roman" w:hAnsi="Times New Roman"/>
          <w:color w:themeColor="hyperlink" w:val="0563C1"/>
          <w:u w:val="single"/>
        </w:rPr>
        <w:fldChar w:fldCharType="end"/>
      </w:r>
    </w:p>
    <w:p w14:paraId="B1000000">
      <w:pPr>
        <w:spacing w:after="160" w:line="264" w:lineRule="auto"/>
        <w:ind/>
        <w:rPr>
          <w:rFonts w:ascii="Times New Roman" w:hAnsi="Times New Roman"/>
        </w:rPr>
      </w:pPr>
      <w:r>
        <w:rPr>
          <w:rFonts w:ascii="Times New Roman" w:hAnsi="Times New Roman"/>
          <w:color w:themeColor="hyperlink" w:val="0563C1"/>
          <w:u w:val="single"/>
        </w:rPr>
        <w:fldChar w:fldCharType="begin"/>
      </w:r>
      <w:r>
        <w:rPr>
          <w:rFonts w:ascii="Times New Roman" w:hAnsi="Times New Roman"/>
          <w:color w:themeColor="hyperlink" w:val="0563C1"/>
          <w:u w:val="single"/>
        </w:rPr>
        <w:instrText>HYPERLINK "https://normativ24.ru/istoriya-gto.html"</w:instrText>
      </w:r>
      <w:r>
        <w:rPr>
          <w:rFonts w:ascii="Times New Roman" w:hAnsi="Times New Roman"/>
          <w:color w:themeColor="hyperlink" w:val="0563C1"/>
          <w:u w:val="single"/>
        </w:rPr>
        <w:fldChar w:fldCharType="separate"/>
      </w:r>
      <w:r>
        <w:rPr>
          <w:rFonts w:ascii="Times New Roman" w:hAnsi="Times New Roman"/>
          <w:color w:themeColor="hyperlink" w:val="0563C1"/>
          <w:u w:val="single"/>
        </w:rPr>
        <w:t>https://normativ24.ru/istoriya-gto.html</w:t>
      </w:r>
      <w:r>
        <w:rPr>
          <w:rFonts w:ascii="Times New Roman" w:hAnsi="Times New Roman"/>
          <w:color w:themeColor="hyperlink" w:val="0563C1"/>
          <w:u w:val="single"/>
        </w:rPr>
        <w:fldChar w:fldCharType="end"/>
      </w:r>
    </w:p>
    <w:p w14:paraId="B2000000">
      <w:pPr>
        <w:spacing w:line="360" w:lineRule="auto"/>
        <w:ind/>
        <w:rPr>
          <w:rFonts w:ascii="Times New Roman" w:hAnsi="Times New Roman"/>
          <w:color w:val="000000"/>
          <w:sz w:val="28"/>
        </w:rPr>
      </w:pPr>
    </w:p>
    <w:p w14:paraId="B3000000">
      <w:pPr>
        <w:spacing w:line="360" w:lineRule="auto"/>
        <w:ind w:firstLine="709" w:left="0"/>
        <w:rPr>
          <w:rFonts w:ascii="Times New Roman" w:hAnsi="Times New Roman"/>
          <w:color w:val="000000"/>
          <w:sz w:val="28"/>
        </w:rPr>
      </w:pPr>
    </w:p>
    <w:p w14:paraId="B4000000">
      <w:pPr>
        <w:spacing w:line="360" w:lineRule="auto"/>
        <w:ind w:firstLine="709" w:left="0"/>
        <w:jc w:val="both"/>
        <w:rPr>
          <w:rFonts w:ascii="Times New Roman" w:hAnsi="Times New Roman"/>
          <w:color w:val="000000"/>
          <w:sz w:val="28"/>
        </w:rPr>
      </w:pPr>
    </w:p>
    <w:p w14:paraId="B5000000">
      <w:pPr>
        <w:spacing w:line="360" w:lineRule="auto"/>
        <w:ind/>
        <w:jc w:val="center"/>
        <w:rPr>
          <w:rFonts w:ascii="Times New Roman" w:hAnsi="Times New Roman"/>
          <w:color w:val="000000"/>
          <w:sz w:val="28"/>
        </w:rPr>
      </w:pPr>
    </w:p>
    <w:sectPr>
      <w:footerReference r:id="rId1" w:type="default"/>
      <w:pgSz w:h="16838" w:orient="portrait" w:w="11906"/>
      <w:pgMar w:bottom="1276" w:footer="708" w:gutter="0" w:header="708" w:left="1701" w:right="850" w:top="1134"/>
      <w:pgNumType w:start="1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  <w:ind/>
      <w:jc w:val="right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14:paraId="02000000">
    <w:pPr>
      <w:pStyle w:val="Style_1"/>
    </w:pPr>
  </w:p>
</w:ftr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ind w:hanging="360" w:left="720"/>
      </w:pPr>
      <w:rPr>
        <w:rFonts w:ascii="Times New Roman" w:hAnsi="Times New Roman"/>
        <w:b w:val="0"/>
      </w:r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1">
    <w:lvl w:ilvl="0">
      <w:start w:val="6"/>
      <w:numFmt w:val="decimal"/>
      <w:lvlText w:val="%1."/>
      <w:lvlJc w:val="left"/>
      <w:pPr>
        <w:ind w:hanging="360" w:left="1080"/>
      </w:pPr>
      <w:rPr>
        <w:b w:val="1"/>
      </w:rPr>
    </w:lvl>
    <w:lvl w:ilvl="1">
      <w:start w:val="1"/>
      <w:numFmt w:val="lowerLetter"/>
      <w:lvlText w:val="%2."/>
      <w:lvlJc w:val="left"/>
      <w:pPr>
        <w:ind w:hanging="360" w:left="1800"/>
      </w:pPr>
    </w:lvl>
    <w:lvl w:ilvl="2">
      <w:start w:val="1"/>
      <w:numFmt w:val="lowerRoman"/>
      <w:lvlText w:val="%3."/>
      <w:lvlJc w:val="right"/>
      <w:pPr>
        <w:ind w:hanging="180" w:left="2520"/>
      </w:pPr>
    </w:lvl>
    <w:lvl w:ilvl="3">
      <w:start w:val="1"/>
      <w:numFmt w:val="decimal"/>
      <w:lvlText w:val="%4."/>
      <w:lvlJc w:val="left"/>
      <w:pPr>
        <w:ind w:hanging="360" w:left="3240"/>
      </w:pPr>
    </w:lvl>
    <w:lvl w:ilvl="4">
      <w:start w:val="1"/>
      <w:numFmt w:val="lowerLetter"/>
      <w:lvlText w:val="%5."/>
      <w:lvlJc w:val="left"/>
      <w:pPr>
        <w:ind w:hanging="360" w:left="3960"/>
      </w:pPr>
    </w:lvl>
    <w:lvl w:ilvl="5">
      <w:start w:val="1"/>
      <w:numFmt w:val="lowerRoman"/>
      <w:lvlText w:val="%6."/>
      <w:lvlJc w:val="right"/>
      <w:pPr>
        <w:ind w:hanging="180" w:left="4680"/>
      </w:pPr>
    </w:lvl>
    <w:lvl w:ilvl="6">
      <w:start w:val="1"/>
      <w:numFmt w:val="decimal"/>
      <w:lvlText w:val="%7."/>
      <w:lvlJc w:val="left"/>
      <w:pPr>
        <w:ind w:hanging="360" w:left="5400"/>
      </w:pPr>
    </w:lvl>
    <w:lvl w:ilvl="7">
      <w:start w:val="1"/>
      <w:numFmt w:val="lowerLetter"/>
      <w:lvlText w:val="%8."/>
      <w:lvlJc w:val="left"/>
      <w:pPr>
        <w:ind w:hanging="360" w:left="6120"/>
      </w:pPr>
    </w:lvl>
    <w:lvl w:ilvl="8">
      <w:start w:val="1"/>
      <w:numFmt w:val="lowerRoman"/>
      <w:lvlText w:val="%9."/>
      <w:lvlJc w:val="right"/>
      <w:pPr>
        <w:ind w:hanging="180" w:left="68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pPr>
      <w:spacing w:after="80" w:line="240" w:lineRule="auto"/>
      <w:ind/>
    </w:pPr>
  </w:style>
  <w:style w:default="1" w:styleId="Style_4_ch" w:type="character">
    <w:name w:val="Normal"/>
    <w:link w:val="Style_4"/>
  </w:style>
  <w:style w:styleId="Style_5" w:type="paragraph">
    <w:name w:val="header"/>
    <w:basedOn w:val="Style_4"/>
    <w:link w:val="Style_5_ch"/>
    <w:pPr>
      <w:tabs>
        <w:tab w:leader="none" w:pos="4677" w:val="center"/>
        <w:tab w:leader="none" w:pos="9355" w:val="right"/>
      </w:tabs>
      <w:spacing w:after="0"/>
      <w:ind/>
    </w:pPr>
  </w:style>
  <w:style w:styleId="Style_5_ch" w:type="character">
    <w:name w:val="header"/>
    <w:basedOn w:val="Style_4_ch"/>
    <w:link w:val="Style_5"/>
  </w:style>
  <w:style w:styleId="Style_6" w:type="paragraph">
    <w:name w:val="toc 2"/>
    <w:next w:val="Style_4"/>
    <w:link w:val="Style_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6_ch" w:type="character">
    <w:name w:val="toc 2"/>
    <w:link w:val="Style_6"/>
    <w:rPr>
      <w:rFonts w:ascii="XO Thames" w:hAnsi="XO Thames"/>
      <w:sz w:val="28"/>
    </w:rPr>
  </w:style>
  <w:style w:styleId="Style_7" w:type="paragraph">
    <w:name w:val="No Spacing"/>
    <w:link w:val="Style_7_ch"/>
    <w:pPr>
      <w:spacing w:after="0" w:line="240" w:lineRule="auto"/>
      <w:ind/>
    </w:pPr>
  </w:style>
  <w:style w:styleId="Style_7_ch" w:type="character">
    <w:name w:val="No Spacing"/>
    <w:link w:val="Style_7"/>
  </w:style>
  <w:style w:styleId="Style_8" w:type="paragraph">
    <w:name w:val="toc 4"/>
    <w:next w:val="Style_4"/>
    <w:link w:val="Style_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9" w:type="paragraph">
    <w:name w:val="toc 6"/>
    <w:next w:val="Style_4"/>
    <w:link w:val="Style_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toc 7"/>
    <w:next w:val="Style_4"/>
    <w:link w:val="Style_1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11" w:type="paragraph">
    <w:name w:val="End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Endnote"/>
    <w:link w:val="Style_11"/>
    <w:rPr>
      <w:rFonts w:ascii="XO Thames" w:hAnsi="XO Thames"/>
      <w:sz w:val="22"/>
    </w:rPr>
  </w:style>
  <w:style w:styleId="Style_12" w:type="paragraph">
    <w:name w:val="heading 3"/>
    <w:next w:val="Style_4"/>
    <w:link w:val="Style_12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2_ch" w:type="character">
    <w:name w:val="heading 3"/>
    <w:link w:val="Style_12"/>
    <w:rPr>
      <w:rFonts w:ascii="XO Thames" w:hAnsi="XO Thames"/>
      <w:b w:val="1"/>
      <w:sz w:val="26"/>
    </w:rPr>
  </w:style>
  <w:style w:styleId="Style_13" w:type="paragraph">
    <w:name w:val="FollowedHyperlink"/>
    <w:basedOn w:val="Style_14"/>
    <w:link w:val="Style_13_ch"/>
    <w:rPr>
      <w:color w:themeColor="followedHyperlink" w:val="954F72"/>
      <w:u w:val="single"/>
    </w:rPr>
  </w:style>
  <w:style w:styleId="Style_13_ch" w:type="character">
    <w:name w:val="FollowedHyperlink"/>
    <w:basedOn w:val="Style_14_ch"/>
    <w:link w:val="Style_13"/>
    <w:rPr>
      <w:color w:themeColor="followedHyperlink" w:val="954F72"/>
      <w:u w:val="single"/>
    </w:rPr>
  </w:style>
  <w:style w:styleId="Style_15" w:type="paragraph">
    <w:name w:val="toc 3"/>
    <w:next w:val="Style_4"/>
    <w:link w:val="Style_15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5_ch" w:type="character">
    <w:name w:val="toc 3"/>
    <w:link w:val="Style_15"/>
    <w:rPr>
      <w:rFonts w:ascii="XO Thames" w:hAnsi="XO Thames"/>
      <w:sz w:val="28"/>
    </w:rPr>
  </w:style>
  <w:style w:styleId="Style_16" w:type="paragraph">
    <w:name w:val="heading 5"/>
    <w:next w:val="Style_4"/>
    <w:link w:val="Style_16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6_ch" w:type="character">
    <w:name w:val="heading 5"/>
    <w:link w:val="Style_16"/>
    <w:rPr>
      <w:rFonts w:ascii="XO Thames" w:hAnsi="XO Thames"/>
      <w:b w:val="1"/>
      <w:sz w:val="22"/>
    </w:rPr>
  </w:style>
  <w:style w:styleId="Style_17" w:type="paragraph">
    <w:name w:val="heading 1"/>
    <w:next w:val="Style_4"/>
    <w:link w:val="Style_17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7_ch" w:type="character">
    <w:name w:val="heading 1"/>
    <w:link w:val="Style_17"/>
    <w:rPr>
      <w:rFonts w:ascii="XO Thames" w:hAnsi="XO Thames"/>
      <w:b w:val="1"/>
      <w:sz w:val="32"/>
    </w:rPr>
  </w:style>
  <w:style w:styleId="Style_14" w:type="paragraph">
    <w:name w:val="Default Paragraph Font"/>
    <w:link w:val="Style_14_ch"/>
  </w:style>
  <w:style w:styleId="Style_14_ch" w:type="character">
    <w:name w:val="Default Paragraph Font"/>
    <w:link w:val="Style_14"/>
  </w:style>
  <w:style w:styleId="Style_3" w:type="paragraph">
    <w:name w:val="Hyperlink"/>
    <w:basedOn w:val="Style_14"/>
    <w:link w:val="Style_3_ch"/>
    <w:rPr>
      <w:color w:themeColor="hyperlink" w:val="0563C1"/>
      <w:u w:val="single"/>
    </w:rPr>
  </w:style>
  <w:style w:styleId="Style_3_ch" w:type="character">
    <w:name w:val="Hyperlink"/>
    <w:basedOn w:val="Style_14_ch"/>
    <w:link w:val="Style_3"/>
    <w:rPr>
      <w:color w:themeColor="hyperlink" w:val="0563C1"/>
      <w:u w:val="single"/>
    </w:rPr>
  </w:style>
  <w:style w:styleId="Style_18" w:type="paragraph">
    <w:name w:val="Footnote"/>
    <w:link w:val="Style_18_ch"/>
    <w:pPr>
      <w:ind w:firstLine="851" w:left="0"/>
      <w:jc w:val="both"/>
    </w:pPr>
    <w:rPr>
      <w:rFonts w:ascii="XO Thames" w:hAnsi="XO Thames"/>
      <w:sz w:val="22"/>
    </w:rPr>
  </w:style>
  <w:style w:styleId="Style_18_ch" w:type="character">
    <w:name w:val="Footnote"/>
    <w:link w:val="Style_18"/>
    <w:rPr>
      <w:rFonts w:ascii="XO Thames" w:hAnsi="XO Thames"/>
      <w:sz w:val="22"/>
    </w:rPr>
  </w:style>
  <w:style w:styleId="Style_19" w:type="paragraph">
    <w:name w:val="toc 1"/>
    <w:next w:val="Style_4"/>
    <w:link w:val="Style_19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9_ch" w:type="character">
    <w:name w:val="toc 1"/>
    <w:link w:val="Style_19"/>
    <w:rPr>
      <w:rFonts w:ascii="XO Thames" w:hAnsi="XO Thames"/>
      <w:b w:val="1"/>
      <w:sz w:val="28"/>
    </w:rPr>
  </w:style>
  <w:style w:styleId="Style_20" w:type="paragraph">
    <w:name w:val="Header and Footer"/>
    <w:link w:val="Style_20_ch"/>
    <w:pPr>
      <w:spacing w:line="240" w:lineRule="auto"/>
      <w:ind/>
      <w:jc w:val="both"/>
    </w:pPr>
    <w:rPr>
      <w:rFonts w:ascii="XO Thames" w:hAnsi="XO Thames"/>
      <w:sz w:val="28"/>
    </w:rPr>
  </w:style>
  <w:style w:styleId="Style_20_ch" w:type="character">
    <w:name w:val="Header and Footer"/>
    <w:link w:val="Style_20"/>
    <w:rPr>
      <w:rFonts w:ascii="XO Thames" w:hAnsi="XO Thames"/>
      <w:sz w:val="28"/>
    </w:rPr>
  </w:style>
  <w:style w:styleId="Style_21" w:type="paragraph">
    <w:name w:val="toc 9"/>
    <w:next w:val="Style_4"/>
    <w:link w:val="Style_21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1_ch" w:type="character">
    <w:name w:val="toc 9"/>
    <w:link w:val="Style_21"/>
    <w:rPr>
      <w:rFonts w:ascii="XO Thames" w:hAnsi="XO Thames"/>
      <w:sz w:val="28"/>
    </w:rPr>
  </w:style>
  <w:style w:styleId="Style_22" w:type="paragraph">
    <w:name w:val="toc 8"/>
    <w:next w:val="Style_4"/>
    <w:link w:val="Style_22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2_ch" w:type="character">
    <w:name w:val="toc 8"/>
    <w:link w:val="Style_22"/>
    <w:rPr>
      <w:rFonts w:ascii="XO Thames" w:hAnsi="XO Thames"/>
      <w:sz w:val="28"/>
    </w:rPr>
  </w:style>
  <w:style w:styleId="Style_23" w:type="paragraph">
    <w:name w:val="Normal (Web)"/>
    <w:basedOn w:val="Style_4"/>
    <w:link w:val="Style_23_ch"/>
    <w:pPr>
      <w:spacing w:afterAutospacing="on" w:beforeAutospacing="on"/>
      <w:ind/>
    </w:pPr>
    <w:rPr>
      <w:rFonts w:ascii="Times New Roman" w:hAnsi="Times New Roman"/>
      <w:sz w:val="24"/>
    </w:rPr>
  </w:style>
  <w:style w:styleId="Style_23_ch" w:type="character">
    <w:name w:val="Normal (Web)"/>
    <w:basedOn w:val="Style_4_ch"/>
    <w:link w:val="Style_23"/>
    <w:rPr>
      <w:rFonts w:ascii="Times New Roman" w:hAnsi="Times New Roman"/>
      <w:sz w:val="24"/>
    </w:rPr>
  </w:style>
  <w:style w:styleId="Style_24" w:type="paragraph">
    <w:name w:val="toc 5"/>
    <w:next w:val="Style_4"/>
    <w:link w:val="Style_24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4_ch" w:type="character">
    <w:name w:val="toc 5"/>
    <w:link w:val="Style_24"/>
    <w:rPr>
      <w:rFonts w:ascii="XO Thames" w:hAnsi="XO Thames"/>
      <w:sz w:val="28"/>
    </w:rPr>
  </w:style>
  <w:style w:styleId="Style_2" w:type="paragraph">
    <w:name w:val="List Paragraph"/>
    <w:basedOn w:val="Style_4"/>
    <w:link w:val="Style_2_ch"/>
    <w:pPr>
      <w:ind w:firstLine="0" w:left="720"/>
      <w:contextualSpacing w:val="1"/>
    </w:pPr>
  </w:style>
  <w:style w:styleId="Style_2_ch" w:type="character">
    <w:name w:val="List Paragraph"/>
    <w:basedOn w:val="Style_4_ch"/>
    <w:link w:val="Style_2"/>
  </w:style>
  <w:style w:styleId="Style_1" w:type="paragraph">
    <w:name w:val="footer"/>
    <w:basedOn w:val="Style_4"/>
    <w:link w:val="Style_1_ch"/>
    <w:pPr>
      <w:tabs>
        <w:tab w:leader="none" w:pos="4677" w:val="center"/>
        <w:tab w:leader="none" w:pos="9355" w:val="right"/>
      </w:tabs>
      <w:spacing w:after="0"/>
      <w:ind/>
    </w:pPr>
  </w:style>
  <w:style w:styleId="Style_1_ch" w:type="character">
    <w:name w:val="footer"/>
    <w:basedOn w:val="Style_4_ch"/>
    <w:link w:val="Style_1"/>
  </w:style>
  <w:style w:styleId="Style_25" w:type="paragraph">
    <w:name w:val="Subtitle"/>
    <w:next w:val="Style_4"/>
    <w:link w:val="Style_25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5_ch" w:type="character">
    <w:name w:val="Subtitle"/>
    <w:link w:val="Style_25"/>
    <w:rPr>
      <w:rFonts w:ascii="XO Thames" w:hAnsi="XO Thames"/>
      <w:i w:val="1"/>
      <w:sz w:val="24"/>
    </w:rPr>
  </w:style>
  <w:style w:styleId="Style_26" w:type="paragraph">
    <w:name w:val="Title"/>
    <w:next w:val="Style_4"/>
    <w:link w:val="Style_26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6_ch" w:type="character">
    <w:name w:val="Title"/>
    <w:link w:val="Style_26"/>
    <w:rPr>
      <w:rFonts w:ascii="XO Thames" w:hAnsi="XO Thames"/>
      <w:b w:val="1"/>
      <w:caps w:val="1"/>
      <w:sz w:val="40"/>
    </w:rPr>
  </w:style>
  <w:style w:styleId="Style_27" w:type="paragraph">
    <w:name w:val="heading 4"/>
    <w:next w:val="Style_4"/>
    <w:link w:val="Style_27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7_ch" w:type="character">
    <w:name w:val="heading 4"/>
    <w:link w:val="Style_27"/>
    <w:rPr>
      <w:rFonts w:ascii="XO Thames" w:hAnsi="XO Thames"/>
      <w:b w:val="1"/>
      <w:sz w:val="24"/>
    </w:rPr>
  </w:style>
  <w:style w:styleId="Style_28" w:type="paragraph">
    <w:name w:val="heading 2"/>
    <w:next w:val="Style_4"/>
    <w:link w:val="Style_28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8_ch" w:type="character">
    <w:name w:val="heading 2"/>
    <w:link w:val="Style_28"/>
    <w:rPr>
      <w:rFonts w:ascii="XO Thames" w:hAnsi="XO Thames"/>
      <w:b w:val="1"/>
      <w:sz w:val="28"/>
    </w:rPr>
  </w:style>
  <w:style w:styleId="Style_29" w:type="paragraph">
    <w:name w:val="Balloon Text"/>
    <w:basedOn w:val="Style_4"/>
    <w:link w:val="Style_29_ch"/>
    <w:pPr>
      <w:spacing w:after="0"/>
      <w:ind/>
    </w:pPr>
    <w:rPr>
      <w:rFonts w:ascii="Segoe UI" w:hAnsi="Segoe UI"/>
      <w:sz w:val="18"/>
    </w:rPr>
  </w:style>
  <w:style w:styleId="Style_29_ch" w:type="character">
    <w:name w:val="Balloon Text"/>
    <w:basedOn w:val="Style_4_ch"/>
    <w:link w:val="Style_29"/>
    <w:rPr>
      <w:rFonts w:ascii="Segoe UI" w:hAnsi="Segoe UI"/>
      <w:sz w:val="18"/>
    </w:rPr>
  </w:style>
  <w:style w:default="1" w:styleId="Style_30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7" Target="numbering.xml" Type="http://schemas.openxmlformats.org/officeDocument/2006/relationships/numbering"/>
  <Relationship Id="rId7" Target="media/6.png" Type="http://schemas.openxmlformats.org/officeDocument/2006/relationships/image"/>
  <Relationship Id="rId6" Target="media/5.jpeg" Type="http://schemas.openxmlformats.org/officeDocument/2006/relationships/image"/>
  <Relationship Id="rId14" Target="stylesWithEffects.xml" Type="http://schemas.microsoft.com/office/2007/relationships/stylesWithEffects"/>
  <Relationship Id="rId13" Target="styles.xml" Type="http://schemas.openxmlformats.org/officeDocument/2006/relationships/styles"/>
  <Relationship Id="rId4" Target="media/3.jpeg" Type="http://schemas.openxmlformats.org/officeDocument/2006/relationships/image"/>
  <Relationship Id="rId3" Target="media/2.png" Type="http://schemas.openxmlformats.org/officeDocument/2006/relationships/image"/>
  <Relationship Id="rId12" Target="settings.xml" Type="http://schemas.openxmlformats.org/officeDocument/2006/relationships/settings"/>
  <Relationship Id="rId10" Target="media/9.png" Type="http://schemas.openxmlformats.org/officeDocument/2006/relationships/image"/>
  <Relationship Id="rId5" Target="media/4.jpeg" Type="http://schemas.openxmlformats.org/officeDocument/2006/relationships/image"/>
  <Relationship Id="rId11" Target="fontTable.xml" Type="http://schemas.openxmlformats.org/officeDocument/2006/relationships/fontTable"/>
  <Relationship Id="rId8" Target="media/7.png" Type="http://schemas.openxmlformats.org/officeDocument/2006/relationships/image"/>
  <Relationship Id="rId16" Target="theme/theme1.xml" Type="http://schemas.openxmlformats.org/officeDocument/2006/relationships/theme"/>
  <Relationship Id="rId2" Target="media/1.jpeg" Type="http://schemas.openxmlformats.org/officeDocument/2006/relationships/image"/>
  <Relationship Id="rId9" Target="media/8.png" Type="http://schemas.openxmlformats.org/officeDocument/2006/relationships/image"/>
  <Relationship Id="rId15" Target="webSettings.xml" Type="http://schemas.openxmlformats.org/officeDocument/2006/relationships/webSettings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MyOffice-CoreFramework-Android/32-1208.815.9166.836.1@e219c1f5f8b37096339e1b5349806f7128392a05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2024-03-20T13:26:47Z</dcterms:modified>
</cp:coreProperties>
</file>